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3FC7" w14:textId="34E7B775" w:rsidR="003E138A" w:rsidRPr="003954DF" w:rsidRDefault="000F2408" w:rsidP="00C544E7">
      <w:pPr>
        <w:pStyle w:val="NormalWeb"/>
        <w:spacing w:before="0" w:beforeAutospacing="0" w:after="150" w:afterAutospacing="0" w:line="276" w:lineRule="auto"/>
        <w:jc w:val="center"/>
        <w:rPr>
          <w:rFonts w:ascii="Segoe UI" w:hAnsi="Segoe UI" w:cs="Segoe UI"/>
          <w:b/>
          <w:bCs/>
          <w:color w:val="333333"/>
          <w:sz w:val="21"/>
          <w:szCs w:val="21"/>
        </w:rPr>
      </w:pPr>
      <w:r w:rsidRPr="003954DF">
        <w:rPr>
          <w:rFonts w:ascii="Segoe UI" w:hAnsi="Segoe UI" w:cs="Segoe UI"/>
          <w:b/>
          <w:bCs/>
          <w:color w:val="333333"/>
          <w:sz w:val="21"/>
          <w:szCs w:val="21"/>
        </w:rPr>
        <w:t>A</w:t>
      </w:r>
      <w:r w:rsidR="003954DF" w:rsidRPr="003954DF">
        <w:rPr>
          <w:rFonts w:ascii="Segoe UI" w:hAnsi="Segoe UI" w:cs="Segoe UI"/>
          <w:b/>
          <w:bCs/>
          <w:color w:val="333333"/>
          <w:sz w:val="21"/>
          <w:szCs w:val="21"/>
        </w:rPr>
        <w:t>nexo Nro.</w:t>
      </w:r>
      <w:r w:rsidRPr="003954DF">
        <w:rPr>
          <w:rFonts w:ascii="Segoe UI" w:hAnsi="Segoe UI" w:cs="Segoe UI"/>
          <w:b/>
          <w:bCs/>
          <w:color w:val="333333"/>
          <w:sz w:val="21"/>
          <w:szCs w:val="21"/>
        </w:rPr>
        <w:t xml:space="preserve"> </w:t>
      </w:r>
      <w:r w:rsidR="00D66E5F" w:rsidRPr="003954DF">
        <w:rPr>
          <w:rFonts w:ascii="Segoe UI" w:hAnsi="Segoe UI" w:cs="Segoe UI"/>
          <w:b/>
          <w:bCs/>
          <w:color w:val="333333"/>
          <w:sz w:val="21"/>
          <w:szCs w:val="21"/>
        </w:rPr>
        <w:t>10</w:t>
      </w:r>
    </w:p>
    <w:p w14:paraId="146978AD" w14:textId="3E34D190" w:rsidR="002E05D2" w:rsidRPr="003954DF" w:rsidRDefault="002E05D2" w:rsidP="00C544E7">
      <w:pPr>
        <w:pStyle w:val="NormalWeb"/>
        <w:spacing w:before="0" w:beforeAutospacing="0" w:after="150" w:afterAutospacing="0" w:line="276" w:lineRule="auto"/>
        <w:jc w:val="center"/>
        <w:rPr>
          <w:rFonts w:ascii="Segoe UI" w:hAnsi="Segoe UI" w:cs="Segoe UI"/>
          <w:b/>
          <w:bCs/>
          <w:color w:val="333333"/>
          <w:sz w:val="21"/>
          <w:szCs w:val="21"/>
        </w:rPr>
      </w:pPr>
      <w:r w:rsidRPr="003954DF">
        <w:rPr>
          <w:rFonts w:ascii="Segoe UI" w:hAnsi="Segoe UI" w:cs="Segoe UI"/>
          <w:b/>
          <w:bCs/>
          <w:color w:val="333333"/>
          <w:sz w:val="21"/>
          <w:szCs w:val="21"/>
        </w:rPr>
        <w:t>Tem</w:t>
      </w:r>
      <w:r w:rsidR="003954DF" w:rsidRPr="003954DF">
        <w:rPr>
          <w:rFonts w:ascii="Segoe UI" w:hAnsi="Segoe UI" w:cs="Segoe UI"/>
          <w:b/>
          <w:bCs/>
          <w:color w:val="333333"/>
          <w:sz w:val="21"/>
          <w:szCs w:val="21"/>
        </w:rPr>
        <w:t>as</w:t>
      </w:r>
      <w:r w:rsidRPr="003954DF">
        <w:rPr>
          <w:rFonts w:ascii="Segoe UI" w:hAnsi="Segoe UI" w:cs="Segoe UI"/>
          <w:b/>
          <w:bCs/>
          <w:color w:val="333333"/>
          <w:sz w:val="21"/>
          <w:szCs w:val="21"/>
        </w:rPr>
        <w:t xml:space="preserve"> </w:t>
      </w:r>
      <w:r w:rsidR="003954DF" w:rsidRPr="003954DF">
        <w:rPr>
          <w:rFonts w:ascii="Segoe UI" w:hAnsi="Segoe UI" w:cs="Segoe UI"/>
          <w:b/>
          <w:bCs/>
          <w:color w:val="333333"/>
          <w:sz w:val="21"/>
          <w:szCs w:val="21"/>
        </w:rPr>
        <w:t>p</w:t>
      </w:r>
      <w:r w:rsidRPr="003954DF">
        <w:rPr>
          <w:rFonts w:ascii="Segoe UI" w:hAnsi="Segoe UI" w:cs="Segoe UI"/>
          <w:b/>
          <w:bCs/>
          <w:color w:val="333333"/>
          <w:sz w:val="21"/>
          <w:szCs w:val="21"/>
        </w:rPr>
        <w:t>riorizad</w:t>
      </w:r>
      <w:r w:rsidR="003954DF" w:rsidRPr="003954DF">
        <w:rPr>
          <w:rFonts w:ascii="Segoe UI" w:hAnsi="Segoe UI" w:cs="Segoe UI"/>
          <w:b/>
          <w:bCs/>
          <w:color w:val="333333"/>
          <w:sz w:val="21"/>
          <w:szCs w:val="21"/>
        </w:rPr>
        <w:t>os</w:t>
      </w:r>
    </w:p>
    <w:p w14:paraId="2D475326" w14:textId="6DCCB5B1" w:rsidR="002E05D2" w:rsidRPr="003954DF" w:rsidRDefault="002E05D2" w:rsidP="00C544E7">
      <w:pPr>
        <w:pStyle w:val="EstiloEstiloTtulo1LatinaArial11pt11pt"/>
        <w:spacing w:line="276" w:lineRule="auto"/>
        <w:rPr>
          <w:rFonts w:ascii="Segoe UI" w:hAnsi="Segoe UI" w:cs="Segoe UI"/>
          <w:sz w:val="21"/>
          <w:szCs w:val="21"/>
          <w:lang w:val="es-CO"/>
        </w:rPr>
      </w:pPr>
      <w:proofErr w:type="spellStart"/>
      <w:r w:rsidRPr="003954DF">
        <w:rPr>
          <w:rFonts w:ascii="Segoe UI" w:hAnsi="Segoe UI" w:cs="Segoe UI"/>
          <w:sz w:val="21"/>
          <w:szCs w:val="21"/>
        </w:rPr>
        <w:t>SENAI</w:t>
      </w:r>
      <w:r w:rsidR="003954DF" w:rsidRPr="003954DF">
        <w:rPr>
          <w:rFonts w:ascii="Segoe UI" w:hAnsi="Segoe UI" w:cs="Segoe UI"/>
          <w:sz w:val="21"/>
          <w:szCs w:val="21"/>
        </w:rPr>
        <w:t>nnova</w:t>
      </w:r>
      <w:proofErr w:type="spellEnd"/>
      <w:r w:rsidR="003954DF" w:rsidRPr="003954DF">
        <w:rPr>
          <w:rFonts w:ascii="Segoe UI" w:hAnsi="Segoe UI" w:cs="Segoe UI"/>
          <w:sz w:val="21"/>
          <w:szCs w:val="21"/>
        </w:rPr>
        <w:t xml:space="preserve"> Productividad para las Empresas 2.0</w:t>
      </w:r>
    </w:p>
    <w:p w14:paraId="30FE279D" w14:textId="77777777" w:rsidR="004566D6" w:rsidRPr="003954DF" w:rsidRDefault="004566D6" w:rsidP="004566D6">
      <w:pPr>
        <w:spacing w:after="0" w:line="360" w:lineRule="auto"/>
        <w:jc w:val="both"/>
        <w:rPr>
          <w:rFonts w:ascii="Segoe UI" w:hAnsi="Segoe UI" w:cs="Segoe UI"/>
          <w:bCs/>
          <w:sz w:val="21"/>
          <w:szCs w:val="21"/>
        </w:rPr>
      </w:pPr>
    </w:p>
    <w:p w14:paraId="15B3A845" w14:textId="77777777" w:rsidR="002D18F1" w:rsidRPr="003954DF" w:rsidRDefault="002D18F1" w:rsidP="00BE787D">
      <w:pPr>
        <w:spacing w:line="240" w:lineRule="auto"/>
        <w:contextualSpacing/>
        <w:jc w:val="both"/>
        <w:rPr>
          <w:rFonts w:ascii="Segoe UI" w:hAnsi="Segoe UI" w:cs="Segoe UI"/>
          <w:bCs/>
          <w:sz w:val="21"/>
          <w:szCs w:val="21"/>
        </w:rPr>
      </w:pPr>
      <w:r w:rsidRPr="003954DF">
        <w:rPr>
          <w:rFonts w:ascii="Segoe UI" w:hAnsi="Segoe UI" w:cs="Segoe UI"/>
          <w:bCs/>
          <w:sz w:val="21"/>
          <w:szCs w:val="21"/>
        </w:rPr>
        <w:t>La presente convocatoria buscar contribuir a la Política para la Reactivación, la Repotenciación y el Crecimiento Sostenible e Incluyente: Nuevo Compromiso por el Futuro de Colombia (</w:t>
      </w:r>
      <w:proofErr w:type="spellStart"/>
      <w:r w:rsidRPr="003954DF">
        <w:rPr>
          <w:rFonts w:ascii="Segoe UI" w:hAnsi="Segoe UI" w:cs="Segoe UI"/>
          <w:bCs/>
          <w:sz w:val="21"/>
          <w:szCs w:val="21"/>
        </w:rPr>
        <w:t>Conpes</w:t>
      </w:r>
      <w:proofErr w:type="spellEnd"/>
      <w:r w:rsidRPr="003954DF">
        <w:rPr>
          <w:rFonts w:ascii="Segoe UI" w:hAnsi="Segoe UI" w:cs="Segoe UI"/>
          <w:bCs/>
          <w:sz w:val="21"/>
          <w:szCs w:val="21"/>
        </w:rPr>
        <w:t xml:space="preserve"> 4023 de 2021), a través de la sofisticación, la innovación y el desarrollo tecnológico. </w:t>
      </w:r>
    </w:p>
    <w:p w14:paraId="284B1AC9" w14:textId="77777777" w:rsidR="002D18F1" w:rsidRPr="003954DF" w:rsidRDefault="002D18F1" w:rsidP="00BE787D">
      <w:pPr>
        <w:spacing w:line="240" w:lineRule="auto"/>
        <w:contextualSpacing/>
        <w:jc w:val="both"/>
        <w:rPr>
          <w:rFonts w:ascii="Segoe UI" w:hAnsi="Segoe UI" w:cs="Segoe UI"/>
          <w:bCs/>
          <w:sz w:val="21"/>
          <w:szCs w:val="21"/>
        </w:rPr>
      </w:pPr>
    </w:p>
    <w:p w14:paraId="546D3AFC" w14:textId="325F669C" w:rsidR="002D18F1" w:rsidRPr="003954DF" w:rsidRDefault="002D18F1" w:rsidP="00BE787D">
      <w:pPr>
        <w:spacing w:line="240" w:lineRule="auto"/>
        <w:contextualSpacing/>
        <w:jc w:val="both"/>
        <w:rPr>
          <w:rFonts w:ascii="Segoe UI" w:hAnsi="Segoe UI" w:cs="Segoe UI"/>
          <w:bCs/>
          <w:sz w:val="21"/>
          <w:szCs w:val="21"/>
        </w:rPr>
      </w:pPr>
      <w:r w:rsidRPr="003954DF">
        <w:rPr>
          <w:rFonts w:ascii="Segoe UI" w:hAnsi="Segoe UI" w:cs="Segoe UI"/>
          <w:bCs/>
          <w:sz w:val="21"/>
          <w:szCs w:val="21"/>
        </w:rPr>
        <w:t xml:space="preserve">En ese sentido se priorizarán proyectos que cumplan con alguno(s) de los siguientes enfoques: </w:t>
      </w:r>
    </w:p>
    <w:p w14:paraId="7D7CA69E" w14:textId="018FB189" w:rsidR="002D18F1" w:rsidRPr="003954DF" w:rsidRDefault="002D18F1" w:rsidP="00BE787D">
      <w:pPr>
        <w:pStyle w:val="Prrafodelista"/>
        <w:numPr>
          <w:ilvl w:val="0"/>
          <w:numId w:val="14"/>
        </w:numPr>
        <w:spacing w:after="0" w:line="240" w:lineRule="auto"/>
        <w:ind w:left="360"/>
        <w:jc w:val="both"/>
        <w:rPr>
          <w:rFonts w:ascii="Segoe UI" w:hAnsi="Segoe UI" w:cs="Segoe UI"/>
          <w:bCs/>
          <w:sz w:val="21"/>
          <w:szCs w:val="21"/>
        </w:rPr>
      </w:pPr>
      <w:r w:rsidRPr="003954DF">
        <w:rPr>
          <w:rFonts w:ascii="Segoe UI" w:hAnsi="Segoe UI" w:cs="Segoe UI"/>
          <w:bCs/>
          <w:sz w:val="21"/>
          <w:szCs w:val="21"/>
        </w:rPr>
        <w:t xml:space="preserve">Proyectos de Transformación Digital que promuevan el uso y adopción de soluciones tecnológicas relacionadas con la Industria 4.0, como son:  </w:t>
      </w:r>
    </w:p>
    <w:p w14:paraId="57E908DB" w14:textId="2205A023" w:rsidR="00B708DA" w:rsidRPr="003954DF" w:rsidRDefault="00B708DA" w:rsidP="00BE787D">
      <w:pPr>
        <w:pStyle w:val="Prrafodelista"/>
        <w:spacing w:after="0" w:line="240" w:lineRule="auto"/>
        <w:ind w:left="360"/>
        <w:jc w:val="both"/>
        <w:rPr>
          <w:rFonts w:ascii="Segoe UI" w:hAnsi="Segoe UI" w:cs="Segoe UI"/>
          <w:bCs/>
          <w:sz w:val="21"/>
          <w:szCs w:val="21"/>
        </w:rPr>
      </w:pPr>
    </w:p>
    <w:p w14:paraId="795AD350" w14:textId="6A1AAA1B" w:rsidR="00B708DA" w:rsidRPr="003954DF" w:rsidRDefault="00B708DA" w:rsidP="00BE787D">
      <w:pPr>
        <w:pStyle w:val="Prrafodelista"/>
        <w:numPr>
          <w:ilvl w:val="0"/>
          <w:numId w:val="19"/>
        </w:numPr>
        <w:spacing w:line="240" w:lineRule="auto"/>
        <w:jc w:val="both"/>
        <w:rPr>
          <w:rFonts w:ascii="Segoe UI" w:hAnsi="Segoe UI" w:cs="Segoe UI"/>
          <w:bCs/>
          <w:sz w:val="21"/>
          <w:szCs w:val="21"/>
        </w:rPr>
      </w:pPr>
      <w:r w:rsidRPr="003954DF">
        <w:rPr>
          <w:rFonts w:ascii="Segoe UI" w:hAnsi="Segoe UI" w:cs="Segoe UI"/>
          <w:bCs/>
          <w:sz w:val="21"/>
          <w:szCs w:val="21"/>
        </w:rPr>
        <w:t xml:space="preserve">Internet de las cosas: Permite una comunicación de forma multidireccional entre máquinas, personas y productos, facilitando la toma de decisiones con base en la información que la tecnología recoge de su entorno. Utiliza nuevos sensores y actuadores que, en combinación con el análisis de </w:t>
      </w:r>
      <w:proofErr w:type="spellStart"/>
      <w:r w:rsidRPr="003954DF">
        <w:rPr>
          <w:rFonts w:ascii="Segoe UI" w:hAnsi="Segoe UI" w:cs="Segoe UI"/>
          <w:bCs/>
          <w:sz w:val="21"/>
          <w:szCs w:val="21"/>
        </w:rPr>
        <w:t>big</w:t>
      </w:r>
      <w:proofErr w:type="spellEnd"/>
      <w:r w:rsidRPr="003954DF">
        <w:rPr>
          <w:rFonts w:ascii="Segoe UI" w:hAnsi="Segoe UI" w:cs="Segoe UI"/>
          <w:bCs/>
          <w:sz w:val="21"/>
          <w:szCs w:val="21"/>
        </w:rPr>
        <w:t xml:space="preserve"> data y de computación en la nube, permite máquinas autónomas y sistemas inteligentes (OECD, 2016)</w:t>
      </w:r>
      <w:r w:rsidRPr="003954DF">
        <w:rPr>
          <w:rFonts w:ascii="Segoe UI" w:hAnsi="Segoe UI" w:cs="Segoe UI"/>
          <w:sz w:val="21"/>
          <w:szCs w:val="21"/>
          <w:vertAlign w:val="superscript"/>
        </w:rPr>
        <w:footnoteReference w:id="2"/>
      </w:r>
      <w:r w:rsidRPr="003954DF">
        <w:rPr>
          <w:rFonts w:ascii="Segoe UI" w:hAnsi="Segoe UI" w:cs="Segoe UI"/>
          <w:bCs/>
          <w:sz w:val="21"/>
          <w:szCs w:val="21"/>
        </w:rPr>
        <w:t>.</w:t>
      </w:r>
    </w:p>
    <w:p w14:paraId="1BFCBAC2" w14:textId="0CF8EB08" w:rsidR="00B708DA" w:rsidRPr="003954DF" w:rsidRDefault="00B708DA" w:rsidP="00BE787D">
      <w:pPr>
        <w:pStyle w:val="Prrafodelista"/>
        <w:spacing w:line="240" w:lineRule="auto"/>
        <w:jc w:val="both"/>
        <w:rPr>
          <w:rFonts w:ascii="Segoe UI" w:hAnsi="Segoe UI" w:cs="Segoe UI"/>
          <w:bCs/>
          <w:sz w:val="21"/>
          <w:szCs w:val="21"/>
        </w:rPr>
      </w:pPr>
    </w:p>
    <w:p w14:paraId="4C776D07" w14:textId="77777777" w:rsidR="00B708DA" w:rsidRPr="003954DF" w:rsidRDefault="00B708DA" w:rsidP="00BE787D">
      <w:pPr>
        <w:pStyle w:val="Prrafodelista"/>
        <w:numPr>
          <w:ilvl w:val="0"/>
          <w:numId w:val="19"/>
        </w:numPr>
        <w:spacing w:line="240" w:lineRule="auto"/>
        <w:jc w:val="both"/>
        <w:rPr>
          <w:rFonts w:ascii="Segoe UI" w:hAnsi="Segoe UI" w:cs="Segoe UI"/>
          <w:bCs/>
          <w:sz w:val="21"/>
          <w:szCs w:val="21"/>
        </w:rPr>
      </w:pPr>
      <w:r w:rsidRPr="003954DF">
        <w:rPr>
          <w:rFonts w:ascii="Segoe UI" w:hAnsi="Segoe UI" w:cs="Segoe UI"/>
          <w:bCs/>
          <w:sz w:val="21"/>
          <w:szCs w:val="21"/>
        </w:rPr>
        <w:t>Logística 4.0</w:t>
      </w:r>
      <w:r w:rsidRPr="003954DF">
        <w:rPr>
          <w:rFonts w:ascii="Segoe UI" w:hAnsi="Segoe UI" w:cs="Segoe UI"/>
          <w:sz w:val="21"/>
          <w:szCs w:val="21"/>
          <w:vertAlign w:val="superscript"/>
        </w:rPr>
        <w:footnoteReference w:id="3"/>
      </w:r>
      <w:r w:rsidRPr="003954DF">
        <w:rPr>
          <w:rFonts w:ascii="Segoe UI" w:hAnsi="Segoe UI" w:cs="Segoe UI"/>
          <w:bCs/>
          <w:sz w:val="21"/>
          <w:szCs w:val="21"/>
        </w:rPr>
        <w:t xml:space="preserve">: Trata de la interconexión, digitalización y optimización de procesos, datos, personas y máquinas dentro de toda la cadena de suministro en su sentido más amplio, incluyendo transporte, almacenaje, aprovisionamiento, distribución., con lo que se pretende garantizar que: i) la producción sea más personalizada, </w:t>
      </w:r>
      <w:proofErr w:type="spellStart"/>
      <w:r w:rsidRPr="003954DF">
        <w:rPr>
          <w:rFonts w:ascii="Segoe UI" w:hAnsi="Segoe UI" w:cs="Segoe UI"/>
          <w:bCs/>
          <w:sz w:val="21"/>
          <w:szCs w:val="21"/>
        </w:rPr>
        <w:t>ii</w:t>
      </w:r>
      <w:proofErr w:type="spellEnd"/>
      <w:r w:rsidRPr="003954DF">
        <w:rPr>
          <w:rFonts w:ascii="Segoe UI" w:hAnsi="Segoe UI" w:cs="Segoe UI"/>
          <w:bCs/>
          <w:sz w:val="21"/>
          <w:szCs w:val="21"/>
        </w:rPr>
        <w:t xml:space="preserve">) se puedan reducir los stocks y el almacenaje, </w:t>
      </w:r>
      <w:proofErr w:type="spellStart"/>
      <w:r w:rsidRPr="003954DF">
        <w:rPr>
          <w:rFonts w:ascii="Segoe UI" w:hAnsi="Segoe UI" w:cs="Segoe UI"/>
          <w:bCs/>
          <w:sz w:val="21"/>
          <w:szCs w:val="21"/>
        </w:rPr>
        <w:t>iii</w:t>
      </w:r>
      <w:proofErr w:type="spellEnd"/>
      <w:r w:rsidRPr="003954DF">
        <w:rPr>
          <w:rFonts w:ascii="Segoe UI" w:hAnsi="Segoe UI" w:cs="Segoe UI"/>
          <w:bCs/>
          <w:sz w:val="21"/>
          <w:szCs w:val="21"/>
        </w:rPr>
        <w:t xml:space="preserve">) la gestión de los envíos ser realice de forma más eficiente en función de las previsiones de la demandas, </w:t>
      </w:r>
      <w:proofErr w:type="spellStart"/>
      <w:r w:rsidRPr="003954DF">
        <w:rPr>
          <w:rFonts w:ascii="Segoe UI" w:hAnsi="Segoe UI" w:cs="Segoe UI"/>
          <w:bCs/>
          <w:sz w:val="21"/>
          <w:szCs w:val="21"/>
        </w:rPr>
        <w:t>iv</w:t>
      </w:r>
      <w:proofErr w:type="spellEnd"/>
      <w:r w:rsidRPr="003954DF">
        <w:rPr>
          <w:rFonts w:ascii="Segoe UI" w:hAnsi="Segoe UI" w:cs="Segoe UI"/>
          <w:bCs/>
          <w:sz w:val="21"/>
          <w:szCs w:val="21"/>
        </w:rPr>
        <w:t xml:space="preserve">) se puedan optimizar las rutas, v) se puedan gestionar más eficientemente las flotas, vi) se tenga un mejor conocimiento de la ubicación y la trazabilidad de las mercancías mediante la geolocalización, </w:t>
      </w:r>
      <w:proofErr w:type="spellStart"/>
      <w:r w:rsidRPr="003954DF">
        <w:rPr>
          <w:rFonts w:ascii="Segoe UI" w:hAnsi="Segoe UI" w:cs="Segoe UI"/>
          <w:bCs/>
          <w:sz w:val="21"/>
          <w:szCs w:val="21"/>
        </w:rPr>
        <w:t>vii</w:t>
      </w:r>
      <w:proofErr w:type="spellEnd"/>
      <w:r w:rsidRPr="003954DF">
        <w:rPr>
          <w:rFonts w:ascii="Segoe UI" w:hAnsi="Segoe UI" w:cs="Segoe UI"/>
          <w:bCs/>
          <w:sz w:val="21"/>
          <w:szCs w:val="21"/>
        </w:rPr>
        <w:t>) se puedan realizar procesos de facturación y pagos automáticos, tanto a proveedores como a clientes.</w:t>
      </w:r>
    </w:p>
    <w:p w14:paraId="445D5AF6" w14:textId="77777777" w:rsidR="00B708DA" w:rsidRPr="003954DF" w:rsidRDefault="00B708DA" w:rsidP="00BE787D">
      <w:pPr>
        <w:pStyle w:val="Prrafodelista"/>
        <w:spacing w:line="240" w:lineRule="auto"/>
        <w:jc w:val="both"/>
        <w:rPr>
          <w:rFonts w:ascii="Segoe UI" w:hAnsi="Segoe UI" w:cs="Segoe UI"/>
          <w:bCs/>
          <w:sz w:val="21"/>
          <w:szCs w:val="21"/>
        </w:rPr>
      </w:pPr>
    </w:p>
    <w:p w14:paraId="1D98C39D" w14:textId="77777777" w:rsidR="00B708DA" w:rsidRPr="003954DF" w:rsidRDefault="00B708DA" w:rsidP="00BE787D">
      <w:pPr>
        <w:pStyle w:val="Prrafodelista"/>
        <w:numPr>
          <w:ilvl w:val="0"/>
          <w:numId w:val="19"/>
        </w:numPr>
        <w:spacing w:line="240" w:lineRule="auto"/>
        <w:jc w:val="both"/>
        <w:rPr>
          <w:rFonts w:ascii="Segoe UI" w:hAnsi="Segoe UI" w:cs="Segoe UI"/>
          <w:bCs/>
          <w:sz w:val="21"/>
          <w:szCs w:val="21"/>
        </w:rPr>
      </w:pPr>
      <w:r w:rsidRPr="003954DF">
        <w:rPr>
          <w:rFonts w:ascii="Segoe UI" w:hAnsi="Segoe UI" w:cs="Segoe UI"/>
          <w:bCs/>
          <w:sz w:val="21"/>
          <w:szCs w:val="21"/>
        </w:rPr>
        <w:t>Big data y analítica de datos: Se refiere a datos caracterizados por su volumen (gran cantidad), velocidad (a la que se generan, accede, procesan y analizan) y variedad de datos estructurados y no estructurados (OECD, 2016)</w:t>
      </w:r>
      <w:r w:rsidRPr="003954DF">
        <w:rPr>
          <w:rFonts w:ascii="Segoe UI" w:hAnsi="Segoe UI" w:cs="Segoe UI"/>
          <w:sz w:val="21"/>
          <w:szCs w:val="21"/>
          <w:vertAlign w:val="superscript"/>
        </w:rPr>
        <w:footnoteReference w:id="4"/>
      </w:r>
      <w:r w:rsidRPr="003954DF">
        <w:rPr>
          <w:rFonts w:ascii="Segoe UI" w:hAnsi="Segoe UI" w:cs="Segoe UI"/>
          <w:bCs/>
          <w:sz w:val="21"/>
          <w:szCs w:val="21"/>
        </w:rPr>
        <w:t xml:space="preserve">. Estos datos pueden ser reportados por máquinas y equipos, sensores, cámaras, micrófonos, teléfonos móviles, </w:t>
      </w:r>
      <w:r w:rsidRPr="003954DF">
        <w:rPr>
          <w:rFonts w:ascii="Segoe UI" w:hAnsi="Segoe UI" w:cs="Segoe UI"/>
          <w:bCs/>
          <w:sz w:val="21"/>
          <w:szCs w:val="21"/>
        </w:rPr>
        <w:lastRenderedPageBreak/>
        <w:t xml:space="preserve">software de producción, y pueden provenir desde diversas fuentes como empresas, proveedores, clientes y redes sociales. </w:t>
      </w:r>
    </w:p>
    <w:p w14:paraId="08952A3E" w14:textId="77777777" w:rsidR="00B708DA" w:rsidRPr="003954DF" w:rsidRDefault="00B708DA" w:rsidP="00BE787D">
      <w:pPr>
        <w:pStyle w:val="Prrafodelista"/>
        <w:spacing w:line="240" w:lineRule="auto"/>
        <w:jc w:val="both"/>
        <w:rPr>
          <w:rFonts w:ascii="Segoe UI" w:hAnsi="Segoe UI" w:cs="Segoe UI"/>
          <w:bCs/>
          <w:sz w:val="21"/>
          <w:szCs w:val="21"/>
        </w:rPr>
      </w:pPr>
    </w:p>
    <w:p w14:paraId="5D823595" w14:textId="4AEE1890" w:rsidR="00B708DA" w:rsidRPr="003954DF" w:rsidRDefault="00B708DA" w:rsidP="00BE787D">
      <w:pPr>
        <w:pStyle w:val="Prrafodelista"/>
        <w:numPr>
          <w:ilvl w:val="0"/>
          <w:numId w:val="19"/>
        </w:numPr>
        <w:spacing w:line="240" w:lineRule="auto"/>
        <w:jc w:val="both"/>
        <w:rPr>
          <w:rFonts w:ascii="Segoe UI" w:hAnsi="Segoe UI" w:cs="Segoe UI"/>
          <w:bCs/>
          <w:sz w:val="21"/>
          <w:szCs w:val="21"/>
        </w:rPr>
      </w:pPr>
      <w:proofErr w:type="spellStart"/>
      <w:r w:rsidRPr="003954DF">
        <w:rPr>
          <w:rFonts w:ascii="Segoe UI" w:hAnsi="Segoe UI" w:cs="Segoe UI"/>
          <w:bCs/>
          <w:sz w:val="21"/>
          <w:szCs w:val="21"/>
        </w:rPr>
        <w:t>Blockchain</w:t>
      </w:r>
      <w:proofErr w:type="spellEnd"/>
      <w:r w:rsidRPr="003954DF">
        <w:rPr>
          <w:rFonts w:ascii="Segoe UI" w:hAnsi="Segoe UI" w:cs="Segoe UI"/>
          <w:bCs/>
          <w:sz w:val="21"/>
          <w:szCs w:val="21"/>
        </w:rPr>
        <w:t xml:space="preserve">: Es una base de datos compartida que funciona como un libro para registrar operaciones de </w:t>
      </w:r>
      <w:proofErr w:type="gramStart"/>
      <w:r w:rsidRPr="003954DF">
        <w:rPr>
          <w:rFonts w:ascii="Segoe UI" w:hAnsi="Segoe UI" w:cs="Segoe UI"/>
          <w:bCs/>
          <w:sz w:val="21"/>
          <w:szCs w:val="21"/>
        </w:rPr>
        <w:t>compra-venta</w:t>
      </w:r>
      <w:proofErr w:type="gramEnd"/>
      <w:r w:rsidRPr="003954DF">
        <w:rPr>
          <w:rFonts w:ascii="Segoe UI" w:hAnsi="Segoe UI" w:cs="Segoe UI"/>
          <w:bCs/>
          <w:sz w:val="21"/>
          <w:szCs w:val="21"/>
        </w:rPr>
        <w:t xml:space="preserve"> o cualquier otra transacción. Allí intervienen muchos participantes que introducen todo tipo de datos. Cada vez que un integrante alimenta la base, la información queda registrada en todos los puntos de la red en el mundo. La tecnología tiene protección a través de criptografía, es decir, es cifrada y por sus características, tiene ventajas como la confidencialidad, pues solo se puede acceder a la información sensible a través de una clave privada encriptada. Al ser una tecnología distribuida, en la que cada nodo de la red almacena una copia exacta de la cadena, garantiza la disponibilidad de la información en todo momento. En caso de que un atacante quisiera provocar una denegación de servicio, debería anular todos los nodos, ya que basta con que al menos uno esté operativo para que la información esté disponible. Al basarse en operaciones matemáticas, el </w:t>
      </w:r>
      <w:proofErr w:type="spellStart"/>
      <w:r w:rsidRPr="003954DF">
        <w:rPr>
          <w:rFonts w:ascii="Segoe UI" w:hAnsi="Segoe UI" w:cs="Segoe UI"/>
          <w:bCs/>
          <w:sz w:val="21"/>
          <w:szCs w:val="21"/>
        </w:rPr>
        <w:t>blockchain</w:t>
      </w:r>
      <w:proofErr w:type="spellEnd"/>
      <w:r w:rsidRPr="003954DF">
        <w:rPr>
          <w:rFonts w:ascii="Segoe UI" w:hAnsi="Segoe UI" w:cs="Segoe UI"/>
          <w:bCs/>
          <w:sz w:val="21"/>
          <w:szCs w:val="21"/>
        </w:rPr>
        <w:t xml:space="preserve"> es uno de los métodos más seguros para crear, modificar, compartir y almacenar información.</w:t>
      </w:r>
    </w:p>
    <w:p w14:paraId="674E83A5" w14:textId="77777777" w:rsidR="00B708DA" w:rsidRPr="003954DF" w:rsidRDefault="00B708DA" w:rsidP="00BE787D">
      <w:pPr>
        <w:pStyle w:val="Prrafodelista"/>
        <w:spacing w:line="240" w:lineRule="auto"/>
        <w:jc w:val="both"/>
        <w:rPr>
          <w:rFonts w:ascii="Segoe UI" w:hAnsi="Segoe UI" w:cs="Segoe UI"/>
          <w:bCs/>
          <w:sz w:val="21"/>
          <w:szCs w:val="21"/>
        </w:rPr>
      </w:pPr>
    </w:p>
    <w:p w14:paraId="4A1D4E12" w14:textId="6CA70671" w:rsidR="00B708DA" w:rsidRPr="003954DF" w:rsidRDefault="00B708DA" w:rsidP="00BE787D">
      <w:pPr>
        <w:pStyle w:val="Prrafodelista"/>
        <w:numPr>
          <w:ilvl w:val="0"/>
          <w:numId w:val="19"/>
        </w:numPr>
        <w:spacing w:line="240" w:lineRule="auto"/>
        <w:jc w:val="both"/>
        <w:rPr>
          <w:rFonts w:ascii="Segoe UI" w:hAnsi="Segoe UI" w:cs="Segoe UI"/>
          <w:bCs/>
          <w:sz w:val="21"/>
          <w:szCs w:val="21"/>
        </w:rPr>
      </w:pPr>
      <w:r w:rsidRPr="003954DF">
        <w:rPr>
          <w:rFonts w:ascii="Segoe UI" w:hAnsi="Segoe UI" w:cs="Segoe UI"/>
          <w:bCs/>
          <w:sz w:val="21"/>
          <w:szCs w:val="21"/>
        </w:rPr>
        <w:t>Inteligencia Artificial: Se basa en el desarrollo de algoritmos que permiten a las computadoras procesar datos a una velocidad inusual (tarea que antes requería de varias computadoras y personas), logrando además aprendizaje automático. Los algoritmos se nutren de datos y experiencias recientes y se van perfeccionando, habilitando a la máquina con capacidades cognitivas propias de los seres humanos como visión, lenguaje, comprensión, planificación y decisión con base en los nuevos datos. El software de Inteligencia Artificial está diseñado para realizar determinadas operaciones que se consideran propias de la inteligencia humana, como el autoaprendizaje, resolución de problemas, autocorrección, entre otros</w:t>
      </w:r>
      <w:r w:rsidRPr="003954DF">
        <w:rPr>
          <w:rFonts w:ascii="Segoe UI" w:hAnsi="Segoe UI" w:cs="Segoe UI"/>
          <w:bCs/>
          <w:sz w:val="21"/>
          <w:szCs w:val="21"/>
          <w:vertAlign w:val="superscript"/>
        </w:rPr>
        <w:footnoteReference w:id="5"/>
      </w:r>
      <w:r w:rsidRPr="003954DF">
        <w:rPr>
          <w:rFonts w:ascii="Segoe UI" w:hAnsi="Segoe UI" w:cs="Segoe UI"/>
          <w:bCs/>
          <w:sz w:val="21"/>
          <w:szCs w:val="21"/>
        </w:rPr>
        <w:t>. En la industria, permite el desarrollo de modelos neuronales aplicados a procesar imágenes reforzando la seguridad y el control de calidad; la predicción de series temporales de consumo eléctrico, y el desarrollo de estrategias de control para la gestión optimizada de estaciones de producción, entre otras</w:t>
      </w:r>
      <w:r w:rsidRPr="003954DF">
        <w:rPr>
          <w:rFonts w:ascii="Segoe UI" w:hAnsi="Segoe UI" w:cs="Segoe UI"/>
          <w:sz w:val="21"/>
          <w:szCs w:val="21"/>
          <w:vertAlign w:val="superscript"/>
        </w:rPr>
        <w:footnoteReference w:id="6"/>
      </w:r>
      <w:r w:rsidRPr="003954DF">
        <w:rPr>
          <w:rFonts w:ascii="Segoe UI" w:hAnsi="Segoe UI" w:cs="Segoe UI"/>
          <w:bCs/>
          <w:sz w:val="21"/>
          <w:szCs w:val="21"/>
        </w:rPr>
        <w:t xml:space="preserve">. </w:t>
      </w:r>
    </w:p>
    <w:p w14:paraId="7BCA8D72" w14:textId="77777777" w:rsidR="00B708DA" w:rsidRPr="003954DF" w:rsidRDefault="00B708DA" w:rsidP="00BE787D">
      <w:pPr>
        <w:pStyle w:val="Prrafodelista"/>
        <w:spacing w:line="240" w:lineRule="auto"/>
        <w:jc w:val="both"/>
        <w:rPr>
          <w:rFonts w:ascii="Segoe UI" w:hAnsi="Segoe UI" w:cs="Segoe UI"/>
          <w:bCs/>
          <w:sz w:val="21"/>
          <w:szCs w:val="21"/>
        </w:rPr>
      </w:pPr>
    </w:p>
    <w:p w14:paraId="36AA6B3D" w14:textId="77777777" w:rsidR="00B708DA" w:rsidRPr="003954DF" w:rsidRDefault="00B708DA" w:rsidP="00BE787D">
      <w:pPr>
        <w:pStyle w:val="Prrafodelista"/>
        <w:numPr>
          <w:ilvl w:val="0"/>
          <w:numId w:val="19"/>
        </w:numPr>
        <w:spacing w:line="240" w:lineRule="auto"/>
        <w:jc w:val="both"/>
        <w:rPr>
          <w:rFonts w:ascii="Segoe UI" w:hAnsi="Segoe UI" w:cs="Segoe UI"/>
          <w:bCs/>
          <w:sz w:val="21"/>
          <w:szCs w:val="21"/>
        </w:rPr>
      </w:pPr>
      <w:r w:rsidRPr="003954DF">
        <w:rPr>
          <w:rFonts w:ascii="Segoe UI" w:hAnsi="Segoe UI" w:cs="Segoe UI"/>
          <w:bCs/>
          <w:sz w:val="21"/>
          <w:szCs w:val="21"/>
        </w:rPr>
        <w:t>Manufactura 3D: La manufactura Aditiva o 3D permite fabricar piezas a partir de la superposición de capas de distintos materiales tomando como referencia un diseño previo, sin moldes, directamente desde un modelo virtual. Esta tecnología descentraliza las etapas de diseño y desarrollo de productos e introduce un mayor componente de servicios y software a la manufactura</w:t>
      </w:r>
      <w:r w:rsidRPr="003954DF">
        <w:rPr>
          <w:rFonts w:ascii="Segoe UI" w:hAnsi="Segoe UI" w:cs="Segoe UI"/>
          <w:sz w:val="21"/>
          <w:szCs w:val="21"/>
          <w:vertAlign w:val="superscript"/>
        </w:rPr>
        <w:footnoteReference w:id="7"/>
      </w:r>
      <w:r w:rsidRPr="003954DF">
        <w:rPr>
          <w:rFonts w:ascii="Segoe UI" w:hAnsi="Segoe UI" w:cs="Segoe UI"/>
          <w:bCs/>
          <w:sz w:val="21"/>
          <w:szCs w:val="21"/>
        </w:rPr>
        <w:t xml:space="preserve">. Ofrece enormes ventajas para reproducir piezas y objetos cuya fabricación conlleva cierta dificultad, ya sea por la especificidad y </w:t>
      </w:r>
      <w:r w:rsidRPr="003954DF">
        <w:rPr>
          <w:rFonts w:ascii="Segoe UI" w:hAnsi="Segoe UI" w:cs="Segoe UI"/>
          <w:bCs/>
          <w:sz w:val="21"/>
          <w:szCs w:val="21"/>
        </w:rPr>
        <w:lastRenderedPageBreak/>
        <w:t xml:space="preserve">complejidad de su diseño o porque insume demasiadas horas de trabajo u obliga a reconfigurar máquinas y líneas, con enormes pérdidas de productividad. </w:t>
      </w:r>
    </w:p>
    <w:p w14:paraId="466AE102" w14:textId="77777777" w:rsidR="00B708DA" w:rsidRPr="003954DF" w:rsidRDefault="00B708DA" w:rsidP="00BE787D">
      <w:pPr>
        <w:pStyle w:val="Prrafodelista"/>
        <w:spacing w:line="240" w:lineRule="auto"/>
        <w:jc w:val="both"/>
        <w:rPr>
          <w:rFonts w:ascii="Segoe UI" w:hAnsi="Segoe UI" w:cs="Segoe UI"/>
          <w:bCs/>
          <w:sz w:val="21"/>
          <w:szCs w:val="21"/>
        </w:rPr>
      </w:pPr>
    </w:p>
    <w:p w14:paraId="0D46F2C8" w14:textId="5E3090F8" w:rsidR="00B708DA" w:rsidRPr="003954DF" w:rsidRDefault="00B708DA" w:rsidP="00BE787D">
      <w:pPr>
        <w:pStyle w:val="Prrafodelista"/>
        <w:numPr>
          <w:ilvl w:val="0"/>
          <w:numId w:val="19"/>
        </w:numPr>
        <w:spacing w:line="240" w:lineRule="auto"/>
        <w:jc w:val="both"/>
        <w:rPr>
          <w:rFonts w:ascii="Segoe UI" w:hAnsi="Segoe UI" w:cs="Segoe UI"/>
          <w:bCs/>
          <w:sz w:val="21"/>
          <w:szCs w:val="21"/>
        </w:rPr>
      </w:pPr>
      <w:r w:rsidRPr="003954DF">
        <w:rPr>
          <w:rFonts w:ascii="Segoe UI" w:hAnsi="Segoe UI" w:cs="Segoe UI"/>
          <w:bCs/>
          <w:sz w:val="21"/>
          <w:szCs w:val="21"/>
        </w:rPr>
        <w:t>Automatización y Robótica</w:t>
      </w:r>
      <w:r w:rsidRPr="003954DF">
        <w:rPr>
          <w:rFonts w:ascii="Segoe UI" w:hAnsi="Segoe UI" w:cs="Segoe UI"/>
          <w:sz w:val="21"/>
          <w:szCs w:val="21"/>
          <w:vertAlign w:val="superscript"/>
        </w:rPr>
        <w:footnoteReference w:id="8"/>
      </w:r>
      <w:r w:rsidRPr="003954DF">
        <w:rPr>
          <w:rFonts w:ascii="Segoe UI" w:hAnsi="Segoe UI" w:cs="Segoe UI"/>
          <w:bCs/>
          <w:sz w:val="21"/>
          <w:szCs w:val="21"/>
        </w:rPr>
        <w:t>: Máquinas inteligentes que automatizan tareas que antes estaban circunscriptas únicamente al dominio humano. En el mundo de la industria, la tendencia es avanzar sobre la automatización de los procesos productivos, la navegación y el control, la integración de sensores y actuadores, la comunicación de las interfaces. Se busca incrementar la robótica colaborativa para ir hacia fábricas inteligentes donde todas las áreas de la empresa puedan trabajar en forma conectada y con alto nivel de automatización en las tareas. Por ejemplo, una tendencia creciente en las fábricas inteligentes es la adaptación de vehículos de guiado automático (AGV) que pueden circular por la planta productiva, transportando productos intermedios y finales (de importante peso) desde una estación a otra, compartiendo el espacio con otros AGV y colaborando con los trabajadores.</w:t>
      </w:r>
    </w:p>
    <w:p w14:paraId="75DC8917" w14:textId="77777777" w:rsidR="00B708DA" w:rsidRPr="003954DF" w:rsidRDefault="00B708DA" w:rsidP="00BE787D">
      <w:pPr>
        <w:pStyle w:val="Prrafodelista"/>
        <w:spacing w:line="240" w:lineRule="auto"/>
        <w:jc w:val="both"/>
        <w:rPr>
          <w:rFonts w:ascii="Segoe UI" w:hAnsi="Segoe UI" w:cs="Segoe UI"/>
          <w:bCs/>
          <w:sz w:val="21"/>
          <w:szCs w:val="21"/>
        </w:rPr>
      </w:pPr>
    </w:p>
    <w:p w14:paraId="28843E87" w14:textId="77777777" w:rsidR="00B708DA" w:rsidRPr="003954DF" w:rsidRDefault="00B708DA" w:rsidP="00BE787D">
      <w:pPr>
        <w:pStyle w:val="Prrafodelista"/>
        <w:numPr>
          <w:ilvl w:val="0"/>
          <w:numId w:val="19"/>
        </w:numPr>
        <w:spacing w:line="240" w:lineRule="auto"/>
        <w:jc w:val="both"/>
        <w:rPr>
          <w:rFonts w:ascii="Segoe UI" w:hAnsi="Segoe UI" w:cs="Segoe UI"/>
          <w:bCs/>
          <w:sz w:val="21"/>
          <w:szCs w:val="21"/>
        </w:rPr>
      </w:pPr>
      <w:r w:rsidRPr="003954DF">
        <w:rPr>
          <w:rFonts w:ascii="Segoe UI" w:hAnsi="Segoe UI" w:cs="Segoe UI"/>
          <w:bCs/>
          <w:sz w:val="21"/>
          <w:szCs w:val="21"/>
        </w:rPr>
        <w:t>Realidad Virtual y Aumentada: la realidad virtual es una simulación artificial o generada por computador o recreación de un entorno o situación de la vida real. Hace una inmersión del usuario haciéndole sentir que está experimentando la realidad simulada de primera mano, principalmente al estimular su visión y audición. La realidad aumentada es una tecnología que aplica mejoras generadas por computador sobre una realidad existente para hacerla más significativa a través de la capacidad de interactuar con ella. Se desarrolla en aplicaciones y se usa en dispositivos móviles para combinar componentes digitales en el mundo real de tal manera que se realcen entre sí, pero también se pueden diferenciar fácilmente (</w:t>
      </w:r>
      <w:proofErr w:type="spellStart"/>
      <w:r w:rsidRPr="003954DF">
        <w:rPr>
          <w:rFonts w:ascii="Segoe UI" w:hAnsi="Segoe UI" w:cs="Segoe UI"/>
          <w:bCs/>
          <w:i/>
          <w:iCs/>
          <w:sz w:val="21"/>
          <w:szCs w:val="21"/>
        </w:rPr>
        <w:t>Augment</w:t>
      </w:r>
      <w:proofErr w:type="spellEnd"/>
      <w:r w:rsidRPr="003954DF">
        <w:rPr>
          <w:rFonts w:ascii="Segoe UI" w:hAnsi="Segoe UI" w:cs="Segoe UI"/>
          <w:bCs/>
          <w:sz w:val="21"/>
          <w:szCs w:val="21"/>
        </w:rPr>
        <w:t>, 2017). El software de realidad virtual es el que se emplea para la creación de objetos, escenarios y sensaciones inmersivas y no inmersivas, de carácter digital, que producen una apariencia real. Por su parte el software de realidad aumentada es aquel que, a partir de datos reales, adiciona a un ambiente real, elementos o entornos virtuales en tiempo real</w:t>
      </w:r>
      <w:r w:rsidRPr="003954DF">
        <w:rPr>
          <w:rFonts w:ascii="Segoe UI" w:hAnsi="Segoe UI" w:cs="Segoe UI"/>
          <w:bCs/>
          <w:sz w:val="21"/>
          <w:szCs w:val="21"/>
          <w:vertAlign w:val="superscript"/>
        </w:rPr>
        <w:footnoteReference w:id="9"/>
      </w:r>
      <w:r w:rsidRPr="003954DF">
        <w:rPr>
          <w:rFonts w:ascii="Segoe UI" w:hAnsi="Segoe UI" w:cs="Segoe UI"/>
          <w:bCs/>
          <w:sz w:val="21"/>
          <w:szCs w:val="21"/>
        </w:rPr>
        <w:t xml:space="preserve">. </w:t>
      </w:r>
    </w:p>
    <w:p w14:paraId="745F8E97" w14:textId="77777777" w:rsidR="00B708DA" w:rsidRPr="003954DF" w:rsidRDefault="00B708DA" w:rsidP="00BE787D">
      <w:pPr>
        <w:pStyle w:val="Prrafodelista"/>
        <w:spacing w:line="240" w:lineRule="auto"/>
        <w:ind w:left="2844"/>
        <w:rPr>
          <w:rFonts w:ascii="Segoe UI" w:hAnsi="Segoe UI" w:cs="Segoe UI"/>
          <w:bCs/>
          <w:sz w:val="21"/>
          <w:szCs w:val="21"/>
        </w:rPr>
      </w:pPr>
    </w:p>
    <w:p w14:paraId="4DE4F379" w14:textId="77777777" w:rsidR="002D18F1" w:rsidRPr="003954DF" w:rsidRDefault="002D18F1" w:rsidP="00BE787D">
      <w:pPr>
        <w:pStyle w:val="Prrafodelista"/>
        <w:numPr>
          <w:ilvl w:val="0"/>
          <w:numId w:val="14"/>
        </w:numPr>
        <w:spacing w:after="0" w:line="240" w:lineRule="auto"/>
        <w:ind w:left="426"/>
        <w:jc w:val="both"/>
        <w:rPr>
          <w:rFonts w:ascii="Segoe UI" w:hAnsi="Segoe UI" w:cs="Segoe UI"/>
          <w:bCs/>
          <w:sz w:val="21"/>
          <w:szCs w:val="21"/>
        </w:rPr>
      </w:pPr>
      <w:r w:rsidRPr="003954DF">
        <w:rPr>
          <w:rFonts w:ascii="Segoe UI" w:hAnsi="Segoe UI" w:cs="Segoe UI"/>
          <w:bCs/>
          <w:sz w:val="21"/>
          <w:szCs w:val="21"/>
        </w:rPr>
        <w:t>Proyectos de Bioeconomía y negocios verdes enfocados en el uso eficiente y sostenible de la biodiversidad y la biomasa residual para generar nuevos productos, procesos y servicios de valor agregado, basados en conocimiento e innovación que permitan apalancar el crecimiento, desarrollo y progreso en las regiones de Colombia, como son nuevas tecnologías habilitantes en sectores tradicionales (Biotecnología, nanotecnología, TIC, entre otras), uso respetuoso, eficiente y sostenible de la biodiversidad, valoración del conocimiento local y tradicional, negocios globales y sostenibles, entre otros</w:t>
      </w:r>
      <w:r w:rsidRPr="003954DF">
        <w:rPr>
          <w:rStyle w:val="Refdenotaalpie"/>
          <w:rFonts w:ascii="Segoe UI" w:hAnsi="Segoe UI" w:cs="Segoe UI"/>
          <w:sz w:val="21"/>
          <w:szCs w:val="21"/>
        </w:rPr>
        <w:footnoteReference w:id="10"/>
      </w:r>
      <w:r w:rsidRPr="003954DF">
        <w:rPr>
          <w:rFonts w:ascii="Segoe UI" w:hAnsi="Segoe UI" w:cs="Segoe UI"/>
          <w:bCs/>
          <w:sz w:val="21"/>
          <w:szCs w:val="21"/>
        </w:rPr>
        <w:t>.</w:t>
      </w:r>
    </w:p>
    <w:p w14:paraId="635D38AE" w14:textId="0FFC25D4" w:rsidR="002D18F1" w:rsidRPr="003954DF" w:rsidRDefault="002D18F1" w:rsidP="00BE787D">
      <w:pPr>
        <w:spacing w:line="240" w:lineRule="auto"/>
        <w:jc w:val="both"/>
        <w:rPr>
          <w:rFonts w:ascii="Segoe UI" w:hAnsi="Segoe UI" w:cs="Segoe UI"/>
          <w:bCs/>
          <w:sz w:val="21"/>
          <w:szCs w:val="21"/>
        </w:rPr>
      </w:pPr>
    </w:p>
    <w:p w14:paraId="5743E06D" w14:textId="752F11EE" w:rsidR="00A5010F" w:rsidRPr="003954DF" w:rsidRDefault="00A5010F" w:rsidP="00BE787D">
      <w:pPr>
        <w:pStyle w:val="Prrafodelista"/>
        <w:numPr>
          <w:ilvl w:val="0"/>
          <w:numId w:val="20"/>
        </w:numPr>
        <w:spacing w:line="240" w:lineRule="auto"/>
        <w:jc w:val="both"/>
        <w:rPr>
          <w:rFonts w:ascii="Segoe UI" w:hAnsi="Segoe UI" w:cs="Segoe UI"/>
          <w:bCs/>
          <w:sz w:val="21"/>
          <w:szCs w:val="21"/>
        </w:rPr>
      </w:pPr>
      <w:r w:rsidRPr="003954DF">
        <w:rPr>
          <w:rFonts w:ascii="Segoe UI" w:hAnsi="Segoe UI" w:cs="Segoe UI"/>
          <w:bCs/>
          <w:sz w:val="21"/>
          <w:szCs w:val="21"/>
        </w:rPr>
        <w:t xml:space="preserve">Biotecnología: manipulación controlada y deliberada de los sistemas biológicos para la fabricación o procesamiento eficiente de productos útiles. Ofrece un nuevo enfoque sostenible para la fabricación de productos químicos, permitiendo el reemplazo de materias primas basadas en petróleo con materias primas renovables. (Mark j. </w:t>
      </w:r>
      <w:proofErr w:type="spellStart"/>
      <w:r w:rsidRPr="003954DF">
        <w:rPr>
          <w:rFonts w:ascii="Segoe UI" w:hAnsi="Segoe UI" w:cs="Segoe UI"/>
          <w:bCs/>
          <w:sz w:val="21"/>
          <w:szCs w:val="21"/>
        </w:rPr>
        <w:t>Burk</w:t>
      </w:r>
      <w:proofErr w:type="spellEnd"/>
      <w:r w:rsidRPr="003954DF">
        <w:rPr>
          <w:rFonts w:ascii="Segoe UI" w:hAnsi="Segoe UI" w:cs="Segoe UI"/>
          <w:bCs/>
          <w:sz w:val="21"/>
          <w:szCs w:val="21"/>
        </w:rPr>
        <w:t xml:space="preserve">, </w:t>
      </w:r>
      <w:proofErr w:type="spellStart"/>
      <w:r w:rsidRPr="003954DF">
        <w:rPr>
          <w:rFonts w:ascii="Segoe UI" w:hAnsi="Segoe UI" w:cs="Segoe UI"/>
          <w:bCs/>
          <w:sz w:val="21"/>
          <w:szCs w:val="21"/>
        </w:rPr>
        <w:t>stephen</w:t>
      </w:r>
      <w:proofErr w:type="spellEnd"/>
      <w:r w:rsidRPr="003954DF">
        <w:rPr>
          <w:rFonts w:ascii="Segoe UI" w:hAnsi="Segoe UI" w:cs="Segoe UI"/>
          <w:bCs/>
          <w:sz w:val="21"/>
          <w:szCs w:val="21"/>
        </w:rPr>
        <w:t xml:space="preserve"> van </w:t>
      </w:r>
      <w:proofErr w:type="spellStart"/>
      <w:r w:rsidRPr="003954DF">
        <w:rPr>
          <w:rFonts w:ascii="Segoe UI" w:hAnsi="Segoe UI" w:cs="Segoe UI"/>
          <w:bCs/>
          <w:sz w:val="21"/>
          <w:szCs w:val="21"/>
        </w:rPr>
        <w:t>dien</w:t>
      </w:r>
      <w:proofErr w:type="spellEnd"/>
      <w:r w:rsidRPr="003954DF">
        <w:rPr>
          <w:rFonts w:ascii="Segoe UI" w:hAnsi="Segoe UI" w:cs="Segoe UI"/>
          <w:bCs/>
          <w:sz w:val="21"/>
          <w:szCs w:val="21"/>
        </w:rPr>
        <w:t>., 2015)</w:t>
      </w:r>
    </w:p>
    <w:p w14:paraId="263561C4" w14:textId="5C130A27" w:rsidR="00A5010F" w:rsidRPr="003954DF" w:rsidRDefault="369DCCC2" w:rsidP="0C4F23BD">
      <w:pPr>
        <w:pStyle w:val="Prrafodelista"/>
        <w:numPr>
          <w:ilvl w:val="0"/>
          <w:numId w:val="20"/>
        </w:numPr>
        <w:spacing w:line="240" w:lineRule="auto"/>
        <w:jc w:val="both"/>
        <w:rPr>
          <w:rFonts w:ascii="Segoe UI" w:hAnsi="Segoe UI" w:cs="Segoe UI"/>
          <w:sz w:val="21"/>
          <w:szCs w:val="21"/>
        </w:rPr>
      </w:pPr>
      <w:r w:rsidRPr="003954DF">
        <w:rPr>
          <w:rFonts w:ascii="Segoe UI" w:hAnsi="Segoe UI" w:cs="Segoe UI"/>
          <w:sz w:val="21"/>
          <w:szCs w:val="21"/>
        </w:rPr>
        <w:t>Nanotecnología (También hace parte de temáticas de la cuarta revolución industrial): ciencia, ingeniería y tecnología llevada a cabo a escala nanométrica, que es de aproximadamente 1 a 100 nanómetros. La nanociencia y la nanotecnología son el estudio y la aplicación de dispositivos extremadamente pequeños que se pueden utilizar en todos los demás campos de la ciencia, como la química, la biología, la física, la ciencia de los materiales y la ingeniería. (Nano.gov, 2017).</w:t>
      </w:r>
    </w:p>
    <w:p w14:paraId="1121BADD" w14:textId="05414753" w:rsidR="00D12E12" w:rsidRPr="003954DF" w:rsidRDefault="00D12E12" w:rsidP="00BE787D">
      <w:pPr>
        <w:pStyle w:val="Prrafodelista"/>
        <w:numPr>
          <w:ilvl w:val="0"/>
          <w:numId w:val="20"/>
        </w:numPr>
        <w:spacing w:line="240" w:lineRule="auto"/>
        <w:jc w:val="both"/>
        <w:rPr>
          <w:rFonts w:ascii="Segoe UI" w:hAnsi="Segoe UI" w:cs="Segoe UI"/>
          <w:bCs/>
          <w:sz w:val="21"/>
          <w:szCs w:val="21"/>
        </w:rPr>
      </w:pPr>
      <w:r w:rsidRPr="003954DF">
        <w:rPr>
          <w:rFonts w:ascii="Segoe UI" w:hAnsi="Segoe UI" w:cs="Segoe UI"/>
          <w:bCs/>
          <w:sz w:val="21"/>
          <w:szCs w:val="21"/>
        </w:rPr>
        <w:t>Eficiencia Energética: conjunto de acciones que permiten optimizar la relación entre la cantidad de energía consumida y los productos y servicios finales obtenidos. Consiste en aprovechar en forma más completa y funcional la energía sin disminuir la calidad de vida de los usuarios finales. (Grupo energía Bogotá, 2017).</w:t>
      </w:r>
    </w:p>
    <w:p w14:paraId="6E3A7974" w14:textId="1E19D0D8" w:rsidR="00A5010F" w:rsidRPr="003954DF" w:rsidRDefault="00A5010F" w:rsidP="00BE787D">
      <w:pPr>
        <w:pStyle w:val="Prrafodelista"/>
        <w:numPr>
          <w:ilvl w:val="0"/>
          <w:numId w:val="20"/>
        </w:numPr>
        <w:spacing w:line="240" w:lineRule="auto"/>
        <w:jc w:val="both"/>
        <w:rPr>
          <w:rFonts w:ascii="Segoe UI" w:hAnsi="Segoe UI" w:cs="Segoe UI"/>
          <w:bCs/>
          <w:sz w:val="21"/>
          <w:szCs w:val="21"/>
        </w:rPr>
      </w:pPr>
      <w:r w:rsidRPr="003954DF">
        <w:rPr>
          <w:rFonts w:ascii="Segoe UI" w:hAnsi="Segoe UI" w:cs="Segoe UI"/>
          <w:bCs/>
          <w:sz w:val="21"/>
          <w:szCs w:val="21"/>
        </w:rPr>
        <w:t>Materiales Avanzados: se encuentran dentro de todo el espectro de tipologías de materiales, se clasifican en: materiales metálicos, polímeros de altas prestaciones, materiales cerámicos avanzados, materiales compuestos y biomateriales. Estos materiales muestran superiores características mecánicas de resistencia, dureza, tenacidad y durabilidad con relación a los materiales convencionales. (</w:t>
      </w:r>
      <w:proofErr w:type="spellStart"/>
      <w:r w:rsidRPr="003954DF">
        <w:rPr>
          <w:rFonts w:ascii="Segoe UI" w:hAnsi="Segoe UI" w:cs="Segoe UI"/>
          <w:bCs/>
          <w:sz w:val="21"/>
          <w:szCs w:val="21"/>
        </w:rPr>
        <w:t>Innovasturias</w:t>
      </w:r>
      <w:proofErr w:type="spellEnd"/>
      <w:r w:rsidRPr="003954DF">
        <w:rPr>
          <w:rFonts w:ascii="Segoe UI" w:hAnsi="Segoe UI" w:cs="Segoe UI"/>
          <w:bCs/>
          <w:sz w:val="21"/>
          <w:szCs w:val="21"/>
        </w:rPr>
        <w:t>, 2016).</w:t>
      </w:r>
    </w:p>
    <w:p w14:paraId="0BB9B4CA" w14:textId="77777777" w:rsidR="00BE787D" w:rsidRPr="003954DF" w:rsidRDefault="00BE787D" w:rsidP="00BE787D">
      <w:pPr>
        <w:pStyle w:val="Prrafodelista"/>
        <w:spacing w:line="240" w:lineRule="auto"/>
        <w:jc w:val="both"/>
        <w:rPr>
          <w:rFonts w:ascii="Segoe UI" w:hAnsi="Segoe UI" w:cs="Segoe UI"/>
          <w:bCs/>
          <w:sz w:val="21"/>
          <w:szCs w:val="21"/>
        </w:rPr>
      </w:pPr>
    </w:p>
    <w:p w14:paraId="6FE80DB6" w14:textId="193B5964" w:rsidR="002D18F1" w:rsidRPr="003954DF" w:rsidRDefault="6774F6A6" w:rsidP="23EE06F4">
      <w:pPr>
        <w:pStyle w:val="Prrafodelista"/>
        <w:numPr>
          <w:ilvl w:val="0"/>
          <w:numId w:val="14"/>
        </w:numPr>
        <w:spacing w:after="0" w:line="240" w:lineRule="auto"/>
        <w:ind w:left="426"/>
        <w:jc w:val="both"/>
        <w:rPr>
          <w:rFonts w:ascii="Segoe UI" w:hAnsi="Segoe UI" w:cs="Segoe UI"/>
          <w:sz w:val="21"/>
          <w:szCs w:val="21"/>
        </w:rPr>
      </w:pPr>
      <w:r w:rsidRPr="003954DF">
        <w:rPr>
          <w:rFonts w:ascii="Segoe UI" w:hAnsi="Segoe UI" w:cs="Segoe UI"/>
          <w:sz w:val="21"/>
          <w:szCs w:val="21"/>
        </w:rPr>
        <w:t>Proyectos de Innovación agropecuaria que conlleven a la introducción de productos, bienes, servicios, procesos y métodos nuevos en el ámbito productivo, de transformación o adecuación de la producción, administrativo, organizacional, financiero y crediticio, informático, de mercadeo y comercialización, que incorporen mejoras significativas en el desempeño del sector agropecuario</w:t>
      </w:r>
      <w:r w:rsidR="002D18F1" w:rsidRPr="003954DF">
        <w:rPr>
          <w:rStyle w:val="Refdenotaalpie"/>
          <w:rFonts w:ascii="Segoe UI" w:hAnsi="Segoe UI" w:cs="Segoe UI"/>
          <w:sz w:val="21"/>
          <w:szCs w:val="21"/>
        </w:rPr>
        <w:footnoteReference w:id="11"/>
      </w:r>
      <w:r w:rsidRPr="003954DF">
        <w:rPr>
          <w:rFonts w:ascii="Segoe UI" w:hAnsi="Segoe UI" w:cs="Segoe UI"/>
          <w:sz w:val="21"/>
          <w:szCs w:val="21"/>
        </w:rPr>
        <w:t>.</w:t>
      </w:r>
      <w:r w:rsidR="68C21693" w:rsidRPr="003954DF">
        <w:rPr>
          <w:rFonts w:ascii="Segoe UI" w:hAnsi="Segoe UI" w:cs="Segoe UI"/>
          <w:sz w:val="21"/>
          <w:szCs w:val="21"/>
        </w:rPr>
        <w:t xml:space="preserve"> </w:t>
      </w:r>
      <w:r w:rsidR="4E368F67" w:rsidRPr="003954DF">
        <w:rPr>
          <w:rFonts w:ascii="Segoe UI" w:hAnsi="Segoe UI" w:cs="Segoe UI"/>
          <w:sz w:val="21"/>
          <w:szCs w:val="21"/>
        </w:rPr>
        <w:t xml:space="preserve"> </w:t>
      </w:r>
      <w:r w:rsidR="511DFDF6" w:rsidRPr="003954DF">
        <w:rPr>
          <w:rFonts w:ascii="Segoe UI" w:eastAsia="Calibri" w:hAnsi="Segoe UI" w:cs="Segoe UI"/>
          <w:sz w:val="21"/>
          <w:szCs w:val="21"/>
          <w:lang w:val="es-MX"/>
        </w:rPr>
        <w:t xml:space="preserve">Se espera que los proyectos tengan en cuenta entre otros, temas relacionados con agriculturas de precisión, insumos agropecuarios, variedades mejoradas, agriculturas sostenibles, uso racional de recursos, equipos y en general los nuevos avances en ciencia y tecnología del sector agropecuario, que permitan mejorar las condiciones de producción, distribución y oferta de productos procedentes el sector.   </w:t>
      </w:r>
    </w:p>
    <w:p w14:paraId="0E7F4FCB" w14:textId="48D48F9A" w:rsidR="23EE06F4" w:rsidRPr="003954DF" w:rsidRDefault="23EE06F4" w:rsidP="23EE06F4">
      <w:pPr>
        <w:spacing w:after="0" w:line="240" w:lineRule="auto"/>
        <w:jc w:val="both"/>
        <w:rPr>
          <w:rFonts w:ascii="Segoe UI" w:hAnsi="Segoe UI" w:cs="Segoe UI"/>
          <w:sz w:val="21"/>
          <w:szCs w:val="21"/>
        </w:rPr>
      </w:pPr>
    </w:p>
    <w:p w14:paraId="1CF39575" w14:textId="77777777" w:rsidR="00C544E7" w:rsidRPr="003954DF" w:rsidRDefault="00C544E7" w:rsidP="00932A15">
      <w:pPr>
        <w:spacing w:after="0" w:line="240" w:lineRule="auto"/>
        <w:rPr>
          <w:rFonts w:ascii="Segoe UI" w:hAnsi="Segoe UI" w:cs="Segoe UI"/>
          <w:b/>
          <w:sz w:val="21"/>
          <w:szCs w:val="21"/>
        </w:rPr>
      </w:pPr>
    </w:p>
    <w:p w14:paraId="65532706" w14:textId="1DADA7CC" w:rsidR="000C71AC" w:rsidRPr="003954DF" w:rsidRDefault="000C71AC" w:rsidP="00007582">
      <w:pPr>
        <w:pStyle w:val="Prrafodelista"/>
        <w:spacing w:after="0" w:line="240" w:lineRule="auto"/>
        <w:jc w:val="center"/>
        <w:rPr>
          <w:rFonts w:ascii="Segoe UI" w:hAnsi="Segoe UI" w:cs="Segoe UI"/>
          <w:b/>
          <w:sz w:val="21"/>
          <w:szCs w:val="21"/>
        </w:rPr>
      </w:pPr>
      <w:r w:rsidRPr="003954DF">
        <w:rPr>
          <w:rFonts w:ascii="Segoe UI" w:hAnsi="Segoe UI" w:cs="Segoe UI"/>
          <w:b/>
          <w:sz w:val="21"/>
          <w:szCs w:val="21"/>
        </w:rPr>
        <w:t>REFERENCIAS BIBLIOGRÁFICAS</w:t>
      </w:r>
    </w:p>
    <w:p w14:paraId="02B0A5AA" w14:textId="77777777" w:rsidR="00007582" w:rsidRPr="003954DF" w:rsidRDefault="00007582" w:rsidP="00007582">
      <w:pPr>
        <w:pStyle w:val="Prrafodelista"/>
        <w:spacing w:after="0" w:line="240" w:lineRule="auto"/>
        <w:jc w:val="center"/>
        <w:rPr>
          <w:rFonts w:ascii="Segoe UI" w:hAnsi="Segoe UI" w:cs="Segoe UI"/>
          <w:b/>
          <w:sz w:val="21"/>
          <w:szCs w:val="21"/>
        </w:rPr>
      </w:pPr>
    </w:p>
    <w:p w14:paraId="3A978CF9" w14:textId="0CC26767" w:rsidR="00C831A3" w:rsidRPr="003954DF" w:rsidRDefault="00192F40" w:rsidP="00BE787D">
      <w:pPr>
        <w:pStyle w:val="Prrafodelista"/>
        <w:numPr>
          <w:ilvl w:val="0"/>
          <w:numId w:val="18"/>
        </w:numPr>
        <w:spacing w:after="0" w:line="240" w:lineRule="auto"/>
        <w:jc w:val="both"/>
        <w:rPr>
          <w:rFonts w:ascii="Segoe UI" w:hAnsi="Segoe UI" w:cs="Segoe UI"/>
          <w:bCs/>
          <w:sz w:val="21"/>
          <w:szCs w:val="21"/>
        </w:rPr>
      </w:pPr>
      <w:bookmarkStart w:id="0" w:name="_Hlk40363153"/>
      <w:r w:rsidRPr="003954DF">
        <w:rPr>
          <w:rFonts w:ascii="Segoe UI" w:hAnsi="Segoe UI" w:cs="Segoe UI"/>
          <w:bCs/>
          <w:sz w:val="21"/>
          <w:szCs w:val="21"/>
        </w:rPr>
        <w:t xml:space="preserve">Industria 4.0: fabricando el futuro / Ana Inés </w:t>
      </w:r>
      <w:proofErr w:type="spellStart"/>
      <w:r w:rsidRPr="003954DF">
        <w:rPr>
          <w:rFonts w:ascii="Segoe UI" w:hAnsi="Segoe UI" w:cs="Segoe UI"/>
          <w:bCs/>
          <w:sz w:val="21"/>
          <w:szCs w:val="21"/>
        </w:rPr>
        <w:t>Basco</w:t>
      </w:r>
      <w:proofErr w:type="spellEnd"/>
      <w:r w:rsidRPr="003954DF">
        <w:rPr>
          <w:rFonts w:ascii="Segoe UI" w:hAnsi="Segoe UI" w:cs="Segoe UI"/>
          <w:bCs/>
          <w:sz w:val="21"/>
          <w:szCs w:val="21"/>
        </w:rPr>
        <w:t xml:space="preserve">, Gustavo Beliz, Diego </w:t>
      </w:r>
      <w:proofErr w:type="spellStart"/>
      <w:r w:rsidRPr="003954DF">
        <w:rPr>
          <w:rFonts w:ascii="Segoe UI" w:hAnsi="Segoe UI" w:cs="Segoe UI"/>
          <w:bCs/>
          <w:sz w:val="21"/>
          <w:szCs w:val="21"/>
        </w:rPr>
        <w:t>Coatz</w:t>
      </w:r>
      <w:proofErr w:type="spellEnd"/>
      <w:r w:rsidRPr="003954DF">
        <w:rPr>
          <w:rFonts w:ascii="Segoe UI" w:hAnsi="Segoe UI" w:cs="Segoe UI"/>
          <w:bCs/>
          <w:sz w:val="21"/>
          <w:szCs w:val="21"/>
        </w:rPr>
        <w:t xml:space="preserve">, Paula </w:t>
      </w:r>
      <w:proofErr w:type="spellStart"/>
      <w:r w:rsidRPr="003954DF">
        <w:rPr>
          <w:rFonts w:ascii="Segoe UI" w:hAnsi="Segoe UI" w:cs="Segoe UI"/>
          <w:bCs/>
          <w:sz w:val="21"/>
          <w:szCs w:val="21"/>
        </w:rPr>
        <w:t>Garnero</w:t>
      </w:r>
      <w:proofErr w:type="spellEnd"/>
      <w:r w:rsidR="00827B3A" w:rsidRPr="003954DF">
        <w:rPr>
          <w:rFonts w:ascii="Segoe UI" w:hAnsi="Segoe UI" w:cs="Segoe UI"/>
          <w:bCs/>
          <w:sz w:val="21"/>
          <w:szCs w:val="21"/>
        </w:rPr>
        <w:t>.</w:t>
      </w:r>
      <w:r w:rsidRPr="003954DF">
        <w:rPr>
          <w:rFonts w:ascii="Segoe UI" w:hAnsi="Segoe UI" w:cs="Segoe UI"/>
          <w:bCs/>
          <w:sz w:val="21"/>
          <w:szCs w:val="21"/>
        </w:rPr>
        <w:t xml:space="preserve"> </w:t>
      </w:r>
      <w:r w:rsidR="005A5A71" w:rsidRPr="003954DF">
        <w:rPr>
          <w:rFonts w:ascii="Segoe UI" w:hAnsi="Segoe UI" w:cs="Segoe UI"/>
          <w:bCs/>
          <w:sz w:val="21"/>
          <w:szCs w:val="21"/>
        </w:rPr>
        <w:t>BID</w:t>
      </w:r>
      <w:r w:rsidR="00BA038B" w:rsidRPr="003954DF">
        <w:rPr>
          <w:rFonts w:ascii="Segoe UI" w:hAnsi="Segoe UI" w:cs="Segoe UI"/>
          <w:bCs/>
          <w:sz w:val="21"/>
          <w:szCs w:val="21"/>
        </w:rPr>
        <w:t xml:space="preserve">- INTAL- </w:t>
      </w:r>
      <w:r w:rsidR="00C7010D" w:rsidRPr="003954DF">
        <w:rPr>
          <w:rFonts w:ascii="Segoe UI" w:hAnsi="Segoe UI" w:cs="Segoe UI"/>
          <w:bCs/>
          <w:sz w:val="21"/>
          <w:szCs w:val="21"/>
        </w:rPr>
        <w:t>UNION INDUSTRIAL ARGENTIA</w:t>
      </w:r>
      <w:r w:rsidR="00C831A3" w:rsidRPr="003954DF">
        <w:rPr>
          <w:rFonts w:ascii="Segoe UI" w:hAnsi="Segoe UI" w:cs="Segoe UI"/>
          <w:bCs/>
          <w:sz w:val="21"/>
          <w:szCs w:val="21"/>
        </w:rPr>
        <w:t xml:space="preserve">. </w:t>
      </w:r>
      <w:r w:rsidR="00827B3A" w:rsidRPr="003954DF">
        <w:rPr>
          <w:rFonts w:ascii="Segoe UI" w:hAnsi="Segoe UI" w:cs="Segoe UI"/>
          <w:bCs/>
          <w:sz w:val="21"/>
          <w:szCs w:val="21"/>
        </w:rPr>
        <w:t>Ciudad de Buenos Aires,</w:t>
      </w:r>
      <w:r w:rsidR="00C7010D" w:rsidRPr="003954DF">
        <w:rPr>
          <w:rFonts w:ascii="Segoe UI" w:hAnsi="Segoe UI" w:cs="Segoe UI"/>
          <w:bCs/>
          <w:sz w:val="21"/>
          <w:szCs w:val="21"/>
        </w:rPr>
        <w:t xml:space="preserve"> </w:t>
      </w:r>
      <w:r w:rsidR="00827B3A" w:rsidRPr="003954DF">
        <w:rPr>
          <w:rFonts w:ascii="Segoe UI" w:hAnsi="Segoe UI" w:cs="Segoe UI"/>
          <w:bCs/>
          <w:sz w:val="21"/>
          <w:szCs w:val="21"/>
        </w:rPr>
        <w:t>2018.</w:t>
      </w:r>
    </w:p>
    <w:bookmarkEnd w:id="0"/>
    <w:p w14:paraId="37FD595A" w14:textId="1C8C94F1" w:rsidR="00090E2A" w:rsidRPr="003954DF" w:rsidRDefault="00090E2A" w:rsidP="00BE787D">
      <w:pPr>
        <w:pStyle w:val="Prrafodelista"/>
        <w:numPr>
          <w:ilvl w:val="0"/>
          <w:numId w:val="13"/>
        </w:numPr>
        <w:spacing w:after="0" w:line="240" w:lineRule="auto"/>
        <w:jc w:val="both"/>
        <w:rPr>
          <w:rFonts w:ascii="Segoe UI" w:hAnsi="Segoe UI" w:cs="Segoe UI"/>
          <w:bCs/>
          <w:sz w:val="21"/>
          <w:szCs w:val="21"/>
        </w:rPr>
      </w:pPr>
      <w:r w:rsidRPr="003954DF">
        <w:rPr>
          <w:rFonts w:ascii="Segoe UI" w:hAnsi="Segoe UI" w:cs="Segoe UI"/>
          <w:bCs/>
          <w:sz w:val="21"/>
          <w:szCs w:val="21"/>
        </w:rPr>
        <w:t>Aspectos Básicos de la Industria 4.0</w:t>
      </w:r>
      <w:r w:rsidR="00CE4CB1" w:rsidRPr="003954DF">
        <w:rPr>
          <w:rFonts w:ascii="Segoe UI" w:hAnsi="Segoe UI" w:cs="Segoe UI"/>
          <w:bCs/>
          <w:sz w:val="21"/>
          <w:szCs w:val="21"/>
        </w:rPr>
        <w:t>. Ministerio de las Tecnologías de la Información y las Comunicaciones</w:t>
      </w:r>
      <w:r w:rsidR="000C71AC" w:rsidRPr="003954DF">
        <w:rPr>
          <w:rFonts w:ascii="Segoe UI" w:hAnsi="Segoe UI" w:cs="Segoe UI"/>
          <w:bCs/>
          <w:sz w:val="21"/>
          <w:szCs w:val="21"/>
        </w:rPr>
        <w:t>. Bogotá, 2019</w:t>
      </w:r>
    </w:p>
    <w:p w14:paraId="583AB1B9" w14:textId="6090383A" w:rsidR="00096F28" w:rsidRPr="003954DF" w:rsidRDefault="00BA038B" w:rsidP="00BE787D">
      <w:pPr>
        <w:pStyle w:val="Prrafodelista"/>
        <w:numPr>
          <w:ilvl w:val="0"/>
          <w:numId w:val="13"/>
        </w:numPr>
        <w:spacing w:after="0" w:line="240" w:lineRule="auto"/>
        <w:jc w:val="both"/>
        <w:rPr>
          <w:rFonts w:ascii="Segoe UI" w:hAnsi="Segoe UI" w:cs="Segoe UI"/>
          <w:bCs/>
          <w:sz w:val="21"/>
          <w:szCs w:val="21"/>
        </w:rPr>
      </w:pPr>
      <w:r w:rsidRPr="003954DF">
        <w:rPr>
          <w:rFonts w:ascii="Segoe UI" w:hAnsi="Segoe UI" w:cs="Segoe UI"/>
          <w:bCs/>
          <w:sz w:val="21"/>
          <w:szCs w:val="21"/>
        </w:rPr>
        <w:lastRenderedPageBreak/>
        <w:t xml:space="preserve">Estudio de </w:t>
      </w:r>
      <w:r w:rsidRPr="003954DF">
        <w:rPr>
          <w:rFonts w:ascii="Segoe UI" w:hAnsi="Segoe UI" w:cs="Segoe UI"/>
          <w:b/>
          <w:sz w:val="21"/>
          <w:szCs w:val="21"/>
        </w:rPr>
        <w:t>“</w:t>
      </w:r>
      <w:r w:rsidR="00FC3ACC" w:rsidRPr="003954DF">
        <w:rPr>
          <w:rFonts w:ascii="Segoe UI" w:hAnsi="Segoe UI" w:cs="Segoe UI"/>
          <w:b/>
          <w:sz w:val="21"/>
          <w:szCs w:val="21"/>
        </w:rPr>
        <w:t>Cierre de brechas de innovación y tecnología</w:t>
      </w:r>
      <w:r w:rsidRPr="003954DF">
        <w:rPr>
          <w:rFonts w:ascii="Segoe UI" w:hAnsi="Segoe UI" w:cs="Segoe UI"/>
          <w:b/>
          <w:sz w:val="21"/>
          <w:szCs w:val="21"/>
        </w:rPr>
        <w:t>”</w:t>
      </w:r>
      <w:r w:rsidR="00451A1F" w:rsidRPr="003954DF">
        <w:rPr>
          <w:rFonts w:ascii="Segoe UI" w:hAnsi="Segoe UI" w:cs="Segoe UI"/>
          <w:b/>
          <w:sz w:val="21"/>
          <w:szCs w:val="21"/>
        </w:rPr>
        <w:t xml:space="preserve">: </w:t>
      </w:r>
      <w:r w:rsidRPr="003954DF">
        <w:rPr>
          <w:rFonts w:ascii="Segoe UI" w:hAnsi="Segoe UI" w:cs="Segoe UI"/>
          <w:bCs/>
          <w:sz w:val="21"/>
          <w:szCs w:val="21"/>
        </w:rPr>
        <w:t xml:space="preserve">ANDI </w:t>
      </w:r>
      <w:r w:rsidR="00451A1F" w:rsidRPr="003954DF">
        <w:rPr>
          <w:rFonts w:ascii="Segoe UI" w:hAnsi="Segoe UI" w:cs="Segoe UI"/>
          <w:bCs/>
          <w:sz w:val="21"/>
          <w:szCs w:val="21"/>
        </w:rPr>
        <w:t>-</w:t>
      </w:r>
      <w:proofErr w:type="spellStart"/>
      <w:r w:rsidRPr="003954DF">
        <w:rPr>
          <w:rFonts w:ascii="Segoe UI" w:hAnsi="Segoe UI" w:cs="Segoe UI"/>
          <w:bCs/>
          <w:sz w:val="21"/>
          <w:szCs w:val="21"/>
        </w:rPr>
        <w:t>Innpulsa</w:t>
      </w:r>
      <w:proofErr w:type="spellEnd"/>
      <w:r w:rsidR="00451A1F" w:rsidRPr="003954DF">
        <w:rPr>
          <w:rFonts w:ascii="Segoe UI" w:hAnsi="Segoe UI" w:cs="Segoe UI"/>
          <w:bCs/>
          <w:sz w:val="21"/>
          <w:szCs w:val="21"/>
        </w:rPr>
        <w:t xml:space="preserve">- </w:t>
      </w:r>
      <w:r w:rsidRPr="003954DF">
        <w:rPr>
          <w:rFonts w:ascii="Segoe UI" w:hAnsi="Segoe UI" w:cs="Segoe UI"/>
          <w:bCs/>
          <w:sz w:val="21"/>
          <w:szCs w:val="21"/>
        </w:rPr>
        <w:t>Colombia Productiva</w:t>
      </w:r>
      <w:r w:rsidR="00451A1F" w:rsidRPr="003954DF">
        <w:rPr>
          <w:rFonts w:ascii="Segoe UI" w:hAnsi="Segoe UI" w:cs="Segoe UI"/>
          <w:bCs/>
          <w:sz w:val="21"/>
          <w:szCs w:val="21"/>
        </w:rPr>
        <w:t xml:space="preserve">. Bogotá, </w:t>
      </w:r>
      <w:r w:rsidR="0032225E" w:rsidRPr="003954DF">
        <w:rPr>
          <w:rFonts w:ascii="Segoe UI" w:hAnsi="Segoe UI" w:cs="Segoe UI"/>
          <w:bCs/>
          <w:sz w:val="21"/>
          <w:szCs w:val="21"/>
        </w:rPr>
        <w:t>20</w:t>
      </w:r>
      <w:r w:rsidR="00181E5C" w:rsidRPr="003954DF">
        <w:rPr>
          <w:rFonts w:ascii="Segoe UI" w:hAnsi="Segoe UI" w:cs="Segoe UI"/>
          <w:bCs/>
          <w:sz w:val="21"/>
          <w:szCs w:val="21"/>
        </w:rPr>
        <w:t>18</w:t>
      </w:r>
      <w:r w:rsidR="00FC3ACC" w:rsidRPr="003954DF">
        <w:rPr>
          <w:rFonts w:ascii="Segoe UI" w:hAnsi="Segoe UI" w:cs="Segoe UI"/>
          <w:bCs/>
          <w:sz w:val="21"/>
          <w:szCs w:val="21"/>
        </w:rPr>
        <w:t>.</w:t>
      </w:r>
    </w:p>
    <w:p w14:paraId="788E4790" w14:textId="17C9FD23" w:rsidR="00C859B1" w:rsidRPr="003954DF" w:rsidRDefault="00C859B1" w:rsidP="00BE787D">
      <w:pPr>
        <w:pStyle w:val="Prrafodelista"/>
        <w:numPr>
          <w:ilvl w:val="0"/>
          <w:numId w:val="13"/>
        </w:numPr>
        <w:spacing w:after="0" w:line="240" w:lineRule="auto"/>
        <w:jc w:val="both"/>
        <w:rPr>
          <w:rFonts w:ascii="Segoe UI" w:hAnsi="Segoe UI" w:cs="Segoe UI"/>
          <w:bCs/>
          <w:sz w:val="21"/>
          <w:szCs w:val="21"/>
        </w:rPr>
      </w:pPr>
      <w:r w:rsidRPr="003954DF">
        <w:rPr>
          <w:rFonts w:ascii="Segoe UI" w:hAnsi="Segoe UI" w:cs="Segoe UI"/>
          <w:bCs/>
          <w:sz w:val="21"/>
          <w:szCs w:val="21"/>
        </w:rPr>
        <w:t xml:space="preserve">Decreto 1412 de 2017 “Por el cual se adiciona el titulo 16 a la parte 2 del libro 2 del Decreto Único Reglamentario del sector TIC, Decreto 1078 de 2015, para reglamentarse los numerales 23 y 25 del artículo 476 del Estatuto Tributario”. </w:t>
      </w:r>
    </w:p>
    <w:p w14:paraId="452B5CE3" w14:textId="2AD6299E" w:rsidR="00C859B1" w:rsidRPr="003954DF" w:rsidRDefault="003954DF" w:rsidP="00BE787D">
      <w:pPr>
        <w:pStyle w:val="Prrafodelista"/>
        <w:numPr>
          <w:ilvl w:val="0"/>
          <w:numId w:val="13"/>
        </w:numPr>
        <w:spacing w:after="0" w:line="240" w:lineRule="auto"/>
        <w:jc w:val="both"/>
        <w:rPr>
          <w:rStyle w:val="Hipervnculo"/>
          <w:rFonts w:ascii="Segoe UI" w:hAnsi="Segoe UI" w:cs="Segoe UI"/>
          <w:bCs/>
          <w:color w:val="auto"/>
          <w:sz w:val="21"/>
          <w:szCs w:val="21"/>
          <w:u w:val="none"/>
        </w:rPr>
      </w:pPr>
      <w:hyperlink r:id="rId11" w:history="1">
        <w:r w:rsidR="00C859B1" w:rsidRPr="003954DF">
          <w:rPr>
            <w:rStyle w:val="Hipervnculo"/>
            <w:rFonts w:ascii="Segoe UI" w:hAnsi="Segoe UI" w:cs="Segoe UI"/>
            <w:sz w:val="21"/>
            <w:szCs w:val="21"/>
          </w:rPr>
          <w:t>https://www.ccb.org.co/Clusters/Cluster-de-Software-y-TI/Noticias/2019/Agosto-2019/Asi-va-el-negocio-de-blockchain-en-Colombia</w:t>
        </w:r>
      </w:hyperlink>
    </w:p>
    <w:p w14:paraId="728DA30B" w14:textId="297B9D15" w:rsidR="00B84FAC" w:rsidRPr="003954DF" w:rsidRDefault="00C544E7" w:rsidP="00B84FAC">
      <w:pPr>
        <w:pStyle w:val="Prrafodelista"/>
        <w:numPr>
          <w:ilvl w:val="0"/>
          <w:numId w:val="13"/>
        </w:numPr>
        <w:spacing w:after="0" w:line="240" w:lineRule="auto"/>
        <w:jc w:val="both"/>
        <w:rPr>
          <w:rFonts w:ascii="Segoe UI" w:hAnsi="Segoe UI" w:cs="Segoe UI"/>
          <w:bCs/>
          <w:sz w:val="21"/>
          <w:szCs w:val="21"/>
        </w:rPr>
      </w:pPr>
      <w:r w:rsidRPr="003954DF">
        <w:rPr>
          <w:rFonts w:ascii="Segoe UI" w:hAnsi="Segoe UI" w:cs="Segoe UI"/>
          <w:bCs/>
          <w:sz w:val="21"/>
          <w:szCs w:val="21"/>
        </w:rPr>
        <w:t>Las claves de la Cuarta Revolución Industrial: Cómo afectará a los negocios y a las personas. Fernando Blanco Silva, José Manuel Castro Pérez, Rubén A. Gayoso Taboada, Wilfredo Santana Alonso. 1ra. Edición. Octubre 2019</w:t>
      </w:r>
    </w:p>
    <w:sectPr w:rsidR="00B84FAC" w:rsidRPr="003954DF">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E8E2" w14:textId="77777777" w:rsidR="00292748" w:rsidRDefault="00292748" w:rsidP="009B1501">
      <w:pPr>
        <w:spacing w:after="0" w:line="240" w:lineRule="auto"/>
      </w:pPr>
      <w:r>
        <w:separator/>
      </w:r>
    </w:p>
  </w:endnote>
  <w:endnote w:type="continuationSeparator" w:id="0">
    <w:p w14:paraId="1E621A27" w14:textId="77777777" w:rsidR="00292748" w:rsidRDefault="00292748" w:rsidP="009B1501">
      <w:pPr>
        <w:spacing w:after="0" w:line="240" w:lineRule="auto"/>
      </w:pPr>
      <w:r>
        <w:continuationSeparator/>
      </w:r>
    </w:p>
  </w:endnote>
  <w:endnote w:type="continuationNotice" w:id="1">
    <w:p w14:paraId="6487DD64" w14:textId="77777777" w:rsidR="00292748" w:rsidRDefault="00292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59FA1C21" w14:paraId="752ADB5A" w14:textId="77777777" w:rsidTr="00035DE3">
      <w:tc>
        <w:tcPr>
          <w:tcW w:w="2945" w:type="dxa"/>
        </w:tcPr>
        <w:p w14:paraId="2BA31250" w14:textId="7E1FD841" w:rsidR="59FA1C21" w:rsidRDefault="59FA1C21" w:rsidP="00035DE3">
          <w:pPr>
            <w:pStyle w:val="Encabezado"/>
            <w:ind w:left="-115"/>
          </w:pPr>
        </w:p>
      </w:tc>
      <w:tc>
        <w:tcPr>
          <w:tcW w:w="2945" w:type="dxa"/>
        </w:tcPr>
        <w:p w14:paraId="55F023E3" w14:textId="04729618" w:rsidR="59FA1C21" w:rsidRDefault="59FA1C21" w:rsidP="00035DE3">
          <w:pPr>
            <w:pStyle w:val="Encabezado"/>
            <w:jc w:val="center"/>
          </w:pPr>
        </w:p>
      </w:tc>
      <w:tc>
        <w:tcPr>
          <w:tcW w:w="2945" w:type="dxa"/>
        </w:tcPr>
        <w:p w14:paraId="5DB0A067" w14:textId="425C2EEB" w:rsidR="59FA1C21" w:rsidRDefault="59FA1C21" w:rsidP="00035DE3">
          <w:pPr>
            <w:pStyle w:val="Encabezado"/>
            <w:ind w:right="-115"/>
            <w:jc w:val="right"/>
          </w:pPr>
        </w:p>
      </w:tc>
    </w:tr>
  </w:tbl>
  <w:p w14:paraId="76103153" w14:textId="12C4B4F3" w:rsidR="59FA1C21" w:rsidRDefault="59FA1C21" w:rsidP="00035D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8A33" w14:textId="77777777" w:rsidR="00292748" w:rsidRDefault="00292748" w:rsidP="009B1501">
      <w:pPr>
        <w:spacing w:after="0" w:line="240" w:lineRule="auto"/>
      </w:pPr>
      <w:r>
        <w:separator/>
      </w:r>
    </w:p>
  </w:footnote>
  <w:footnote w:type="continuationSeparator" w:id="0">
    <w:p w14:paraId="6BE51C74" w14:textId="77777777" w:rsidR="00292748" w:rsidRDefault="00292748" w:rsidP="009B1501">
      <w:pPr>
        <w:spacing w:after="0" w:line="240" w:lineRule="auto"/>
      </w:pPr>
      <w:r>
        <w:continuationSeparator/>
      </w:r>
    </w:p>
  </w:footnote>
  <w:footnote w:type="continuationNotice" w:id="1">
    <w:p w14:paraId="36924B10" w14:textId="77777777" w:rsidR="00292748" w:rsidRDefault="00292748">
      <w:pPr>
        <w:spacing w:after="0" w:line="240" w:lineRule="auto"/>
      </w:pPr>
    </w:p>
  </w:footnote>
  <w:footnote w:id="2">
    <w:p w14:paraId="2C6998E1" w14:textId="77777777" w:rsidR="00B708DA" w:rsidRPr="003954DF" w:rsidRDefault="00B708DA" w:rsidP="003954DF">
      <w:pPr>
        <w:pStyle w:val="Textonotapie"/>
        <w:jc w:val="both"/>
        <w:rPr>
          <w:rFonts w:ascii="Segoe UI" w:hAnsi="Segoe UI" w:cs="Segoe UI"/>
          <w:sz w:val="18"/>
          <w:szCs w:val="18"/>
          <w:lang w:val="es-MX"/>
        </w:rPr>
      </w:pPr>
      <w:r w:rsidRPr="003954DF">
        <w:rPr>
          <w:rStyle w:val="Refdenotaalpie"/>
          <w:rFonts w:ascii="Segoe UI" w:hAnsi="Segoe UI" w:cs="Segoe UI"/>
          <w:sz w:val="18"/>
          <w:szCs w:val="18"/>
        </w:rPr>
        <w:footnoteRef/>
      </w:r>
      <w:r w:rsidRPr="003954DF">
        <w:rPr>
          <w:rFonts w:ascii="Segoe UI" w:hAnsi="Segoe UI" w:cs="Segoe UI"/>
          <w:sz w:val="18"/>
          <w:szCs w:val="18"/>
          <w:lang w:val="en-US"/>
        </w:rPr>
        <w:t xml:space="preserve"> Enabling the next production revolution: the future of manufacturing and services-interim report: Meeting of the OECD Council at Ministerial Level Paris. </w:t>
      </w:r>
      <w:r w:rsidRPr="003954DF">
        <w:rPr>
          <w:rFonts w:ascii="Segoe UI" w:hAnsi="Segoe UI" w:cs="Segoe UI"/>
          <w:sz w:val="18"/>
          <w:szCs w:val="18"/>
        </w:rPr>
        <w:t>(2016, 1-2 june). Paris: OECD</w:t>
      </w:r>
    </w:p>
  </w:footnote>
  <w:footnote w:id="3">
    <w:p w14:paraId="1C9E8155" w14:textId="77777777" w:rsidR="00B708DA" w:rsidRPr="003954DF" w:rsidRDefault="00B708DA" w:rsidP="003954DF">
      <w:pPr>
        <w:pStyle w:val="Textonotapie"/>
        <w:jc w:val="both"/>
        <w:rPr>
          <w:rFonts w:ascii="Segoe UI" w:hAnsi="Segoe UI" w:cs="Segoe UI"/>
          <w:sz w:val="18"/>
          <w:szCs w:val="18"/>
          <w:lang w:val="en-US"/>
        </w:rPr>
      </w:pPr>
      <w:r w:rsidRPr="003954DF">
        <w:rPr>
          <w:rStyle w:val="Refdenotaalpie"/>
          <w:rFonts w:ascii="Segoe UI" w:hAnsi="Segoe UI" w:cs="Segoe UI"/>
          <w:sz w:val="18"/>
          <w:szCs w:val="18"/>
        </w:rPr>
        <w:footnoteRef/>
      </w:r>
      <w:r w:rsidRPr="003954DF">
        <w:rPr>
          <w:rFonts w:ascii="Segoe UI" w:hAnsi="Segoe UI" w:cs="Segoe UI"/>
          <w:sz w:val="18"/>
          <w:szCs w:val="18"/>
        </w:rPr>
        <w:t xml:space="preserve"> Las claves de la Cuarta Revolución Industrial: Cómo afectará a los negocios y a las personas. Fernando Blanco Silva, José Manuel Castro Pérez, Rubén A. Gayoso Taboada, Wilfredo Santana Alonso. </w:t>
      </w:r>
      <w:r w:rsidRPr="003954DF">
        <w:rPr>
          <w:rFonts w:ascii="Segoe UI" w:hAnsi="Segoe UI" w:cs="Segoe UI"/>
          <w:sz w:val="18"/>
          <w:szCs w:val="18"/>
          <w:lang w:val="en-US"/>
        </w:rPr>
        <w:t xml:space="preserve">1ra. </w:t>
      </w:r>
      <w:proofErr w:type="spellStart"/>
      <w:r w:rsidRPr="003954DF">
        <w:rPr>
          <w:rFonts w:ascii="Segoe UI" w:hAnsi="Segoe UI" w:cs="Segoe UI"/>
          <w:sz w:val="18"/>
          <w:szCs w:val="18"/>
          <w:lang w:val="en-US"/>
        </w:rPr>
        <w:t>Edición</w:t>
      </w:r>
      <w:proofErr w:type="spellEnd"/>
      <w:r w:rsidRPr="003954DF">
        <w:rPr>
          <w:rFonts w:ascii="Segoe UI" w:hAnsi="Segoe UI" w:cs="Segoe UI"/>
          <w:sz w:val="18"/>
          <w:szCs w:val="18"/>
          <w:lang w:val="en-US"/>
        </w:rPr>
        <w:t xml:space="preserve">. </w:t>
      </w:r>
      <w:proofErr w:type="spellStart"/>
      <w:r w:rsidRPr="003954DF">
        <w:rPr>
          <w:rFonts w:ascii="Segoe UI" w:hAnsi="Segoe UI" w:cs="Segoe UI"/>
          <w:sz w:val="18"/>
          <w:szCs w:val="18"/>
          <w:lang w:val="en-US"/>
        </w:rPr>
        <w:t>Octubre</w:t>
      </w:r>
      <w:proofErr w:type="spellEnd"/>
      <w:r w:rsidRPr="003954DF">
        <w:rPr>
          <w:rFonts w:ascii="Segoe UI" w:hAnsi="Segoe UI" w:cs="Segoe UI"/>
          <w:sz w:val="18"/>
          <w:szCs w:val="18"/>
          <w:lang w:val="en-US"/>
        </w:rPr>
        <w:t xml:space="preserve"> 2019</w:t>
      </w:r>
    </w:p>
  </w:footnote>
  <w:footnote w:id="4">
    <w:p w14:paraId="34758A79" w14:textId="77777777" w:rsidR="00B708DA" w:rsidRPr="00EA7400" w:rsidRDefault="00B708DA" w:rsidP="003954DF">
      <w:pPr>
        <w:pStyle w:val="Textonotapie"/>
        <w:jc w:val="both"/>
        <w:rPr>
          <w:lang w:val="es-MX"/>
        </w:rPr>
      </w:pPr>
      <w:r w:rsidRPr="003954DF">
        <w:rPr>
          <w:rStyle w:val="Refdenotaalpie"/>
          <w:rFonts w:ascii="Segoe UI" w:hAnsi="Segoe UI" w:cs="Segoe UI"/>
          <w:sz w:val="18"/>
          <w:szCs w:val="18"/>
        </w:rPr>
        <w:footnoteRef/>
      </w:r>
      <w:r w:rsidRPr="003954DF">
        <w:rPr>
          <w:rFonts w:ascii="Segoe UI" w:hAnsi="Segoe UI" w:cs="Segoe UI"/>
          <w:sz w:val="18"/>
          <w:szCs w:val="18"/>
          <w:lang w:val="en-US"/>
        </w:rPr>
        <w:t xml:space="preserve"> Enabling the next production revolution: the future of manufacturing and services-interim report: Meeting of the OECD Council at Ministerial Level Paris. </w:t>
      </w:r>
      <w:r w:rsidRPr="003954DF">
        <w:rPr>
          <w:rFonts w:ascii="Segoe UI" w:hAnsi="Segoe UI" w:cs="Segoe UI"/>
          <w:sz w:val="18"/>
          <w:szCs w:val="18"/>
        </w:rPr>
        <w:t>(2016, 1-2 june). Paris: OECD</w:t>
      </w:r>
    </w:p>
  </w:footnote>
  <w:footnote w:id="5">
    <w:p w14:paraId="1C4E140F" w14:textId="77777777" w:rsidR="00B708DA" w:rsidRPr="003954DF" w:rsidRDefault="00B708DA" w:rsidP="003954DF">
      <w:pPr>
        <w:pStyle w:val="Textonotapie"/>
        <w:jc w:val="both"/>
        <w:rPr>
          <w:rFonts w:ascii="Segoe UI" w:hAnsi="Segoe UI" w:cs="Segoe UI"/>
          <w:sz w:val="18"/>
          <w:szCs w:val="18"/>
          <w:lang w:val="es-MX"/>
        </w:rPr>
      </w:pPr>
      <w:r w:rsidRPr="003954DF">
        <w:rPr>
          <w:rStyle w:val="Refdenotaalpie"/>
          <w:rFonts w:ascii="Segoe UI" w:hAnsi="Segoe UI" w:cs="Segoe UI"/>
          <w:sz w:val="18"/>
          <w:szCs w:val="18"/>
        </w:rPr>
        <w:footnoteRef/>
      </w:r>
      <w:r w:rsidRPr="003954DF">
        <w:rPr>
          <w:rFonts w:ascii="Segoe UI" w:hAnsi="Segoe UI" w:cs="Segoe UI"/>
          <w:sz w:val="18"/>
          <w:szCs w:val="18"/>
        </w:rPr>
        <w:t xml:space="preserve"> Decreto 1412 de 2017</w:t>
      </w:r>
    </w:p>
  </w:footnote>
  <w:footnote w:id="6">
    <w:p w14:paraId="7A643D97" w14:textId="77777777" w:rsidR="00B708DA" w:rsidRPr="003954DF" w:rsidRDefault="00B708DA" w:rsidP="003954DF">
      <w:pPr>
        <w:pStyle w:val="Textonotapie"/>
        <w:jc w:val="both"/>
        <w:rPr>
          <w:rFonts w:ascii="Segoe UI" w:hAnsi="Segoe UI" w:cs="Segoe UI"/>
          <w:sz w:val="18"/>
          <w:szCs w:val="18"/>
          <w:lang w:val="es-MX"/>
        </w:rPr>
      </w:pPr>
      <w:r w:rsidRPr="003954DF">
        <w:rPr>
          <w:rStyle w:val="Refdenotaalpie"/>
          <w:rFonts w:ascii="Segoe UI" w:hAnsi="Segoe UI" w:cs="Segoe UI"/>
          <w:sz w:val="18"/>
          <w:szCs w:val="18"/>
        </w:rPr>
        <w:footnoteRef/>
      </w:r>
      <w:r w:rsidRPr="003954DF">
        <w:rPr>
          <w:rFonts w:ascii="Segoe UI" w:hAnsi="Segoe UI" w:cs="Segoe UI"/>
          <w:sz w:val="18"/>
          <w:szCs w:val="18"/>
        </w:rPr>
        <w:t xml:space="preserve"> </w:t>
      </w:r>
      <w:proofErr w:type="spellStart"/>
      <w:r w:rsidRPr="003954DF">
        <w:rPr>
          <w:rFonts w:ascii="Segoe UI" w:hAnsi="Segoe UI" w:cs="Segoe UI"/>
          <w:sz w:val="18"/>
          <w:szCs w:val="18"/>
        </w:rPr>
        <w:t>Algortimolandia</w:t>
      </w:r>
      <w:proofErr w:type="spellEnd"/>
      <w:r w:rsidRPr="003954DF">
        <w:rPr>
          <w:rFonts w:ascii="Segoe UI" w:hAnsi="Segoe UI" w:cs="Segoe UI"/>
          <w:sz w:val="18"/>
          <w:szCs w:val="18"/>
        </w:rPr>
        <w:t>: Inteligencia Artificial para una integración predictiva e inclusiva de América Latina (2018). Integración y Comercio. 22(44). Buenos Aires: INTAL-BID.</w:t>
      </w:r>
    </w:p>
  </w:footnote>
  <w:footnote w:id="7">
    <w:p w14:paraId="42E0DE6C" w14:textId="77777777" w:rsidR="00B708DA" w:rsidRPr="001979D1" w:rsidRDefault="00B708DA" w:rsidP="003954DF">
      <w:pPr>
        <w:pStyle w:val="Textonotapie"/>
        <w:jc w:val="both"/>
        <w:rPr>
          <w:lang w:val="es-MX"/>
        </w:rPr>
      </w:pPr>
      <w:r w:rsidRPr="003954DF">
        <w:rPr>
          <w:rStyle w:val="Refdenotaalpie"/>
          <w:rFonts w:ascii="Segoe UI" w:hAnsi="Segoe UI" w:cs="Segoe UI"/>
          <w:sz w:val="18"/>
          <w:szCs w:val="18"/>
        </w:rPr>
        <w:footnoteRef/>
      </w:r>
      <w:r w:rsidRPr="003954DF">
        <w:rPr>
          <w:rFonts w:ascii="Segoe UI" w:hAnsi="Segoe UI" w:cs="Segoe UI"/>
          <w:sz w:val="18"/>
          <w:szCs w:val="18"/>
        </w:rPr>
        <w:t xml:space="preserve"> </w:t>
      </w:r>
      <w:proofErr w:type="spellStart"/>
      <w:r w:rsidRPr="003954DF">
        <w:rPr>
          <w:rFonts w:ascii="Segoe UI" w:hAnsi="Segoe UI" w:cs="Segoe UI"/>
          <w:sz w:val="18"/>
          <w:szCs w:val="18"/>
        </w:rPr>
        <w:t>Fressoli</w:t>
      </w:r>
      <w:proofErr w:type="spellEnd"/>
      <w:r w:rsidRPr="003954DF">
        <w:rPr>
          <w:rFonts w:ascii="Segoe UI" w:hAnsi="Segoe UI" w:cs="Segoe UI"/>
          <w:sz w:val="18"/>
          <w:szCs w:val="18"/>
        </w:rPr>
        <w:t xml:space="preserve"> y Smith (2015). Impresión 3D y fabricación digital: ¿Una nueva revolución tecnológica? Integración y Comercio 19 (39), Septiembre de 2015, p. 116-129, BID-INTAL. Disponible en: https://publications.iadb.org/handle/11319/7262</w:t>
      </w:r>
    </w:p>
  </w:footnote>
  <w:footnote w:id="8">
    <w:p w14:paraId="5D5E764C" w14:textId="77777777" w:rsidR="00B708DA" w:rsidRPr="003954DF" w:rsidRDefault="00B708DA" w:rsidP="003954DF">
      <w:pPr>
        <w:pStyle w:val="Textonotapie"/>
        <w:jc w:val="both"/>
        <w:rPr>
          <w:rFonts w:ascii="Segoe UI" w:hAnsi="Segoe UI" w:cs="Segoe UI"/>
          <w:sz w:val="18"/>
          <w:szCs w:val="18"/>
          <w:lang w:val="es-MX"/>
        </w:rPr>
      </w:pPr>
      <w:r w:rsidRPr="003954DF">
        <w:rPr>
          <w:rStyle w:val="Refdenotaalpie"/>
          <w:rFonts w:ascii="Segoe UI" w:hAnsi="Segoe UI" w:cs="Segoe UI"/>
          <w:sz w:val="18"/>
          <w:szCs w:val="18"/>
        </w:rPr>
        <w:footnoteRef/>
      </w:r>
      <w:r w:rsidRPr="003954DF">
        <w:rPr>
          <w:rFonts w:ascii="Segoe UI" w:hAnsi="Segoe UI" w:cs="Segoe UI"/>
          <w:sz w:val="18"/>
          <w:szCs w:val="18"/>
        </w:rPr>
        <w:t xml:space="preserve"> Industria 4.0: fabricando el futuro / Ana Inés </w:t>
      </w:r>
      <w:proofErr w:type="spellStart"/>
      <w:r w:rsidRPr="003954DF">
        <w:rPr>
          <w:rFonts w:ascii="Segoe UI" w:hAnsi="Segoe UI" w:cs="Segoe UI"/>
          <w:sz w:val="18"/>
          <w:szCs w:val="18"/>
        </w:rPr>
        <w:t>Basco</w:t>
      </w:r>
      <w:proofErr w:type="spellEnd"/>
      <w:r w:rsidRPr="003954DF">
        <w:rPr>
          <w:rFonts w:ascii="Segoe UI" w:hAnsi="Segoe UI" w:cs="Segoe UI"/>
          <w:sz w:val="18"/>
          <w:szCs w:val="18"/>
        </w:rPr>
        <w:t xml:space="preserve">, Gustavo Beliz, Diego </w:t>
      </w:r>
      <w:proofErr w:type="spellStart"/>
      <w:r w:rsidRPr="003954DF">
        <w:rPr>
          <w:rFonts w:ascii="Segoe UI" w:hAnsi="Segoe UI" w:cs="Segoe UI"/>
          <w:sz w:val="18"/>
          <w:szCs w:val="18"/>
        </w:rPr>
        <w:t>Coatz</w:t>
      </w:r>
      <w:proofErr w:type="spellEnd"/>
      <w:r w:rsidRPr="003954DF">
        <w:rPr>
          <w:rFonts w:ascii="Segoe UI" w:hAnsi="Segoe UI" w:cs="Segoe UI"/>
          <w:sz w:val="18"/>
          <w:szCs w:val="18"/>
        </w:rPr>
        <w:t xml:space="preserve">, Paula </w:t>
      </w:r>
      <w:proofErr w:type="spellStart"/>
      <w:r w:rsidRPr="003954DF">
        <w:rPr>
          <w:rFonts w:ascii="Segoe UI" w:hAnsi="Segoe UI" w:cs="Segoe UI"/>
          <w:sz w:val="18"/>
          <w:szCs w:val="18"/>
        </w:rPr>
        <w:t>Garnero</w:t>
      </w:r>
      <w:proofErr w:type="spellEnd"/>
      <w:r w:rsidRPr="003954DF">
        <w:rPr>
          <w:rFonts w:ascii="Segoe UI" w:hAnsi="Segoe UI" w:cs="Segoe UI"/>
          <w:sz w:val="18"/>
          <w:szCs w:val="18"/>
        </w:rPr>
        <w:t>. BID- INTAL- UNION INDUSTRIAL ARGENTIA. Ciudad de Buenos Aires, 2018.</w:t>
      </w:r>
    </w:p>
  </w:footnote>
  <w:footnote w:id="9">
    <w:p w14:paraId="0BED3839" w14:textId="77777777" w:rsidR="00B708DA" w:rsidRPr="003954DF" w:rsidRDefault="00B708DA" w:rsidP="003954DF">
      <w:pPr>
        <w:pStyle w:val="Textonotapie"/>
        <w:jc w:val="both"/>
        <w:rPr>
          <w:rFonts w:ascii="Segoe UI" w:hAnsi="Segoe UI" w:cs="Segoe UI"/>
          <w:sz w:val="18"/>
          <w:szCs w:val="18"/>
          <w:lang w:val="es-MX"/>
        </w:rPr>
      </w:pPr>
      <w:r w:rsidRPr="003954DF">
        <w:rPr>
          <w:rStyle w:val="Refdenotaalpie"/>
          <w:rFonts w:ascii="Segoe UI" w:hAnsi="Segoe UI" w:cs="Segoe UI"/>
          <w:sz w:val="18"/>
          <w:szCs w:val="18"/>
        </w:rPr>
        <w:footnoteRef/>
      </w:r>
      <w:r w:rsidRPr="003954DF">
        <w:rPr>
          <w:rFonts w:ascii="Segoe UI" w:hAnsi="Segoe UI" w:cs="Segoe UI"/>
          <w:sz w:val="18"/>
          <w:szCs w:val="18"/>
        </w:rPr>
        <w:t xml:space="preserve"> Decreto 1412 de 2017 “Por el cual se adiciona el titulo 16 a la parte 2 del libro 2 del Decreto Único Reglamentario del sector TIC, Decreto 1078 de 2015, para reglamentarse los numerales 23 y 25 del artículo 476 del Estatuto Tributario”.</w:t>
      </w:r>
    </w:p>
  </w:footnote>
  <w:footnote w:id="10">
    <w:p w14:paraId="0D2C551C" w14:textId="77777777" w:rsidR="002D18F1" w:rsidRPr="00E533DF" w:rsidRDefault="002D18F1" w:rsidP="003954DF">
      <w:pPr>
        <w:pStyle w:val="Textonotapie"/>
        <w:jc w:val="both"/>
        <w:rPr>
          <w:lang w:val="es-ES"/>
        </w:rPr>
      </w:pPr>
      <w:r w:rsidRPr="003954DF">
        <w:rPr>
          <w:rStyle w:val="Refdenotaalpie"/>
          <w:rFonts w:ascii="Segoe UI" w:hAnsi="Segoe UI" w:cs="Segoe UI"/>
          <w:sz w:val="18"/>
          <w:szCs w:val="18"/>
        </w:rPr>
        <w:footnoteRef/>
      </w:r>
      <w:r w:rsidRPr="003954DF">
        <w:rPr>
          <w:rFonts w:ascii="Segoe UI" w:hAnsi="Segoe UI" w:cs="Segoe UI"/>
          <w:sz w:val="18"/>
          <w:szCs w:val="18"/>
        </w:rPr>
        <w:t xml:space="preserve"> Política de Crecimiento Verde. </w:t>
      </w:r>
      <w:proofErr w:type="spellStart"/>
      <w:r w:rsidRPr="003954DF">
        <w:rPr>
          <w:rFonts w:ascii="Segoe UI" w:hAnsi="Segoe UI" w:cs="Segoe UI"/>
          <w:sz w:val="18"/>
          <w:szCs w:val="18"/>
        </w:rPr>
        <w:t>Conpes</w:t>
      </w:r>
      <w:proofErr w:type="spellEnd"/>
      <w:r w:rsidRPr="003954DF">
        <w:rPr>
          <w:rFonts w:ascii="Segoe UI" w:hAnsi="Segoe UI" w:cs="Segoe UI"/>
          <w:sz w:val="18"/>
          <w:szCs w:val="18"/>
        </w:rPr>
        <w:t xml:space="preserve"> 3934 de 2018</w:t>
      </w:r>
    </w:p>
  </w:footnote>
  <w:footnote w:id="11">
    <w:p w14:paraId="78C9DCF9" w14:textId="77777777" w:rsidR="002D18F1" w:rsidRPr="003954DF" w:rsidRDefault="002D18F1" w:rsidP="002D18F1">
      <w:pPr>
        <w:pStyle w:val="Textonotapie"/>
        <w:jc w:val="both"/>
        <w:rPr>
          <w:rFonts w:ascii="Segoe UI" w:hAnsi="Segoe UI" w:cs="Segoe UI"/>
          <w:sz w:val="18"/>
          <w:szCs w:val="18"/>
          <w:lang w:val="es-ES"/>
        </w:rPr>
      </w:pPr>
      <w:r w:rsidRPr="003954DF">
        <w:rPr>
          <w:rStyle w:val="Refdenotaalpie"/>
          <w:rFonts w:ascii="Segoe UI" w:hAnsi="Segoe UI" w:cs="Segoe UI"/>
          <w:sz w:val="18"/>
          <w:szCs w:val="18"/>
        </w:rPr>
        <w:footnoteRef/>
      </w:r>
      <w:r w:rsidRPr="003954DF">
        <w:rPr>
          <w:rFonts w:ascii="Segoe UI" w:hAnsi="Segoe UI" w:cs="Segoe UI"/>
          <w:sz w:val="18"/>
          <w:szCs w:val="18"/>
        </w:rPr>
        <w:t xml:space="preserve"> </w:t>
      </w:r>
      <w:r w:rsidRPr="003954DF">
        <w:rPr>
          <w:rFonts w:ascii="Segoe UI" w:hAnsi="Segoe UI" w:cs="Segoe UI"/>
          <w:sz w:val="18"/>
          <w:szCs w:val="18"/>
          <w:lang w:val="es-ES"/>
        </w:rPr>
        <w:t>Ley 1876 de 29 diciembre de 2017 " Por medio del cual se crea el sistema nacional de innovación agropecuaria y se dictan disposiciones"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0387" w14:textId="688DEF3E" w:rsidR="00A17E13" w:rsidRPr="00C544E7" w:rsidRDefault="00035DE3" w:rsidP="00C544E7">
    <w:pPr>
      <w:pStyle w:val="Encabezado"/>
      <w:jc w:val="center"/>
      <w:rPr>
        <w:lang w:val="es-MX"/>
      </w:rPr>
    </w:pPr>
    <w:r w:rsidRPr="00A20C0D">
      <w:rPr>
        <w:noProof/>
      </w:rPr>
      <w:drawing>
        <wp:anchor distT="0" distB="0" distL="114300" distR="114300" simplePos="0" relativeHeight="251658242" behindDoc="0" locked="0" layoutInCell="1" allowOverlap="1" wp14:anchorId="785E2649" wp14:editId="15F2B999">
          <wp:simplePos x="0" y="0"/>
          <wp:positionH relativeFrom="margin">
            <wp:posOffset>2452146</wp:posOffset>
          </wp:positionH>
          <wp:positionV relativeFrom="paragraph">
            <wp:posOffset>220944</wp:posOffset>
          </wp:positionV>
          <wp:extent cx="588010" cy="539750"/>
          <wp:effectExtent l="0" t="0" r="2540" b="0"/>
          <wp:wrapNone/>
          <wp:docPr id="3" name="Picture 2" descr="http://www.sena.edu.co/Style%20Library/alayout/images/logoSena.png">
            <a:extLst xmlns:a="http://schemas.openxmlformats.org/drawingml/2006/main">
              <a:ext uri="{FF2B5EF4-FFF2-40B4-BE49-F238E27FC236}">
                <a16:creationId xmlns:a16="http://schemas.microsoft.com/office/drawing/2014/main" id="{E7936C91-5CAE-4004-93EC-E1F612CDEF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descr="http://www.sena.edu.co/Style%20Library/alayout/images/logoSena.png">
                    <a:extLst>
                      <a:ext uri="{FF2B5EF4-FFF2-40B4-BE49-F238E27FC236}">
                        <a16:creationId xmlns:a16="http://schemas.microsoft.com/office/drawing/2014/main" id="{E7936C91-5CAE-4004-93EC-E1F612CDEFC9}"/>
                      </a:ext>
                    </a:extLst>
                  </pic:cNvPr>
                  <pic:cNvPicPr>
                    <a:picLocks noChangeAspect="1" noChangeArrowheads="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588010" cy="539750"/>
                  </a:xfrm>
                  <a:prstGeom prst="rect">
                    <a:avLst/>
                  </a:prstGeom>
                  <a:noFill/>
                </pic:spPr>
              </pic:pic>
            </a:graphicData>
          </a:graphic>
        </wp:anchor>
      </w:drawing>
    </w:r>
    <w:r w:rsidRPr="001413C6">
      <w:rPr>
        <w:noProof/>
      </w:rPr>
      <w:drawing>
        <wp:anchor distT="0" distB="0" distL="114300" distR="114300" simplePos="0" relativeHeight="251658241" behindDoc="0" locked="0" layoutInCell="1" allowOverlap="1" wp14:anchorId="4746BEB4" wp14:editId="772248B4">
          <wp:simplePos x="0" y="0"/>
          <wp:positionH relativeFrom="column">
            <wp:posOffset>-84323</wp:posOffset>
          </wp:positionH>
          <wp:positionV relativeFrom="paragraph">
            <wp:posOffset>-42504</wp:posOffset>
          </wp:positionV>
          <wp:extent cx="1874520" cy="844550"/>
          <wp:effectExtent l="0" t="0" r="0" b="0"/>
          <wp:wrapTopAndBottom/>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844550"/>
                  </a:xfrm>
                  <a:prstGeom prst="rect">
                    <a:avLst/>
                  </a:prstGeom>
                  <a:noFill/>
                </pic:spPr>
              </pic:pic>
            </a:graphicData>
          </a:graphic>
        </wp:anchor>
      </w:drawing>
    </w:r>
    <w:r w:rsidRPr="001413C6">
      <w:rPr>
        <w:noProof/>
      </w:rPr>
      <w:drawing>
        <wp:anchor distT="0" distB="0" distL="114300" distR="114300" simplePos="0" relativeHeight="251658240" behindDoc="0" locked="0" layoutInCell="1" allowOverlap="1" wp14:anchorId="5445BE44" wp14:editId="2E159415">
          <wp:simplePos x="0" y="0"/>
          <wp:positionH relativeFrom="column">
            <wp:posOffset>3415030</wp:posOffset>
          </wp:positionH>
          <wp:positionV relativeFrom="paragraph">
            <wp:posOffset>114300</wp:posOffset>
          </wp:positionV>
          <wp:extent cx="2162175" cy="685800"/>
          <wp:effectExtent l="0" t="0" r="9525" b="0"/>
          <wp:wrapTopAndBottom/>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2162175" cy="685800"/>
                  </a:xfrm>
                  <a:prstGeom prst="rect">
                    <a:avLst/>
                  </a:prstGeom>
                </pic:spPr>
              </pic:pic>
            </a:graphicData>
          </a:graphic>
        </wp:anchor>
      </w:drawing>
    </w:r>
    <w:r w:rsidR="00C7358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7D3"/>
    <w:multiLevelType w:val="hybridMultilevel"/>
    <w:tmpl w:val="0082D0B8"/>
    <w:lvl w:ilvl="0" w:tplc="240A000D">
      <w:start w:val="1"/>
      <w:numFmt w:val="bullet"/>
      <w:lvlText w:val=""/>
      <w:lvlJc w:val="left"/>
      <w:pPr>
        <w:ind w:left="1722" w:hanging="360"/>
      </w:pPr>
      <w:rPr>
        <w:rFonts w:ascii="Wingdings" w:hAnsi="Wingdings" w:hint="default"/>
      </w:rPr>
    </w:lvl>
    <w:lvl w:ilvl="1" w:tplc="240A0003" w:tentative="1">
      <w:start w:val="1"/>
      <w:numFmt w:val="bullet"/>
      <w:lvlText w:val="o"/>
      <w:lvlJc w:val="left"/>
      <w:pPr>
        <w:ind w:left="2442" w:hanging="360"/>
      </w:pPr>
      <w:rPr>
        <w:rFonts w:ascii="Courier New" w:hAnsi="Courier New" w:cs="Courier New" w:hint="default"/>
      </w:rPr>
    </w:lvl>
    <w:lvl w:ilvl="2" w:tplc="240A0005" w:tentative="1">
      <w:start w:val="1"/>
      <w:numFmt w:val="bullet"/>
      <w:lvlText w:val=""/>
      <w:lvlJc w:val="left"/>
      <w:pPr>
        <w:ind w:left="3162" w:hanging="360"/>
      </w:pPr>
      <w:rPr>
        <w:rFonts w:ascii="Wingdings" w:hAnsi="Wingdings" w:hint="default"/>
      </w:rPr>
    </w:lvl>
    <w:lvl w:ilvl="3" w:tplc="240A0001" w:tentative="1">
      <w:start w:val="1"/>
      <w:numFmt w:val="bullet"/>
      <w:lvlText w:val=""/>
      <w:lvlJc w:val="left"/>
      <w:pPr>
        <w:ind w:left="3882" w:hanging="360"/>
      </w:pPr>
      <w:rPr>
        <w:rFonts w:ascii="Symbol" w:hAnsi="Symbol" w:hint="default"/>
      </w:rPr>
    </w:lvl>
    <w:lvl w:ilvl="4" w:tplc="240A0003" w:tentative="1">
      <w:start w:val="1"/>
      <w:numFmt w:val="bullet"/>
      <w:lvlText w:val="o"/>
      <w:lvlJc w:val="left"/>
      <w:pPr>
        <w:ind w:left="4602" w:hanging="360"/>
      </w:pPr>
      <w:rPr>
        <w:rFonts w:ascii="Courier New" w:hAnsi="Courier New" w:cs="Courier New" w:hint="default"/>
      </w:rPr>
    </w:lvl>
    <w:lvl w:ilvl="5" w:tplc="240A0005" w:tentative="1">
      <w:start w:val="1"/>
      <w:numFmt w:val="bullet"/>
      <w:lvlText w:val=""/>
      <w:lvlJc w:val="left"/>
      <w:pPr>
        <w:ind w:left="5322" w:hanging="360"/>
      </w:pPr>
      <w:rPr>
        <w:rFonts w:ascii="Wingdings" w:hAnsi="Wingdings" w:hint="default"/>
      </w:rPr>
    </w:lvl>
    <w:lvl w:ilvl="6" w:tplc="240A0001" w:tentative="1">
      <w:start w:val="1"/>
      <w:numFmt w:val="bullet"/>
      <w:lvlText w:val=""/>
      <w:lvlJc w:val="left"/>
      <w:pPr>
        <w:ind w:left="6042" w:hanging="360"/>
      </w:pPr>
      <w:rPr>
        <w:rFonts w:ascii="Symbol" w:hAnsi="Symbol" w:hint="default"/>
      </w:rPr>
    </w:lvl>
    <w:lvl w:ilvl="7" w:tplc="240A0003" w:tentative="1">
      <w:start w:val="1"/>
      <w:numFmt w:val="bullet"/>
      <w:lvlText w:val="o"/>
      <w:lvlJc w:val="left"/>
      <w:pPr>
        <w:ind w:left="6762" w:hanging="360"/>
      </w:pPr>
      <w:rPr>
        <w:rFonts w:ascii="Courier New" w:hAnsi="Courier New" w:cs="Courier New" w:hint="default"/>
      </w:rPr>
    </w:lvl>
    <w:lvl w:ilvl="8" w:tplc="240A0005" w:tentative="1">
      <w:start w:val="1"/>
      <w:numFmt w:val="bullet"/>
      <w:lvlText w:val=""/>
      <w:lvlJc w:val="left"/>
      <w:pPr>
        <w:ind w:left="7482" w:hanging="360"/>
      </w:pPr>
      <w:rPr>
        <w:rFonts w:ascii="Wingdings" w:hAnsi="Wingdings" w:hint="default"/>
      </w:rPr>
    </w:lvl>
  </w:abstractNum>
  <w:abstractNum w:abstractNumId="1" w15:restartNumberingAfterBreak="0">
    <w:nsid w:val="02C97ED4"/>
    <w:multiLevelType w:val="hybridMultilevel"/>
    <w:tmpl w:val="CEECF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922AF0"/>
    <w:multiLevelType w:val="hybridMultilevel"/>
    <w:tmpl w:val="8E248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CB4E58"/>
    <w:multiLevelType w:val="hybridMultilevel"/>
    <w:tmpl w:val="F35EE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5549A7"/>
    <w:multiLevelType w:val="hybridMultilevel"/>
    <w:tmpl w:val="C2EC56E6"/>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831529"/>
    <w:multiLevelType w:val="multilevel"/>
    <w:tmpl w:val="E9D072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510A0B"/>
    <w:multiLevelType w:val="hybridMultilevel"/>
    <w:tmpl w:val="607E5F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497756B"/>
    <w:multiLevelType w:val="multilevel"/>
    <w:tmpl w:val="50E4A3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182746"/>
    <w:multiLevelType w:val="hybridMultilevel"/>
    <w:tmpl w:val="B7E08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7AC013F"/>
    <w:multiLevelType w:val="multilevel"/>
    <w:tmpl w:val="12F6E9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B7B0061"/>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BD739FD"/>
    <w:multiLevelType w:val="multilevel"/>
    <w:tmpl w:val="4F6AFF8A"/>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imes New Roman" w:hAnsiTheme="minorHAns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D66DD8"/>
    <w:multiLevelType w:val="multilevel"/>
    <w:tmpl w:val="9C5E603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4870DF"/>
    <w:multiLevelType w:val="hybridMultilevel"/>
    <w:tmpl w:val="F78A27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E261CA4"/>
    <w:multiLevelType w:val="hybridMultilevel"/>
    <w:tmpl w:val="C7CA4128"/>
    <w:lvl w:ilvl="0" w:tplc="240A0001">
      <w:start w:val="1"/>
      <w:numFmt w:val="bullet"/>
      <w:lvlText w:val=""/>
      <w:lvlJc w:val="left"/>
      <w:pPr>
        <w:ind w:left="720" w:hanging="360"/>
      </w:pPr>
      <w:rPr>
        <w:rFonts w:ascii="Symbol" w:hAnsi="Symbol"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A755D88"/>
    <w:multiLevelType w:val="hybridMultilevel"/>
    <w:tmpl w:val="6B2CE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C751867"/>
    <w:multiLevelType w:val="hybridMultilevel"/>
    <w:tmpl w:val="CEECF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93E0228"/>
    <w:multiLevelType w:val="hybridMultilevel"/>
    <w:tmpl w:val="F46C76E8"/>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D2375F6"/>
    <w:multiLevelType w:val="hybridMultilevel"/>
    <w:tmpl w:val="EFAC50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EA84014"/>
    <w:multiLevelType w:val="multilevel"/>
    <w:tmpl w:val="EC8AEA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1"/>
  </w:num>
  <w:num w:numId="3">
    <w:abstractNumId w:val="16"/>
  </w:num>
  <w:num w:numId="4">
    <w:abstractNumId w:val="9"/>
  </w:num>
  <w:num w:numId="5">
    <w:abstractNumId w:val="11"/>
  </w:num>
  <w:num w:numId="6">
    <w:abstractNumId w:val="12"/>
  </w:num>
  <w:num w:numId="7">
    <w:abstractNumId w:val="5"/>
  </w:num>
  <w:num w:numId="8">
    <w:abstractNumId w:val="2"/>
  </w:num>
  <w:num w:numId="9">
    <w:abstractNumId w:val="3"/>
  </w:num>
  <w:num w:numId="10">
    <w:abstractNumId w:val="0"/>
  </w:num>
  <w:num w:numId="11">
    <w:abstractNumId w:val="6"/>
  </w:num>
  <w:num w:numId="12">
    <w:abstractNumId w:val="13"/>
  </w:num>
  <w:num w:numId="13">
    <w:abstractNumId w:val="8"/>
  </w:num>
  <w:num w:numId="14">
    <w:abstractNumId w:val="18"/>
  </w:num>
  <w:num w:numId="15">
    <w:abstractNumId w:val="10"/>
  </w:num>
  <w:num w:numId="16">
    <w:abstractNumId w:val="19"/>
  </w:num>
  <w:num w:numId="17">
    <w:abstractNumId w:val="14"/>
  </w:num>
  <w:num w:numId="18">
    <w:abstractNumId w:val="15"/>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94"/>
    <w:rsid w:val="00007582"/>
    <w:rsid w:val="000124CE"/>
    <w:rsid w:val="00013534"/>
    <w:rsid w:val="0002357E"/>
    <w:rsid w:val="000247EC"/>
    <w:rsid w:val="000266DA"/>
    <w:rsid w:val="00033AFF"/>
    <w:rsid w:val="00033BA1"/>
    <w:rsid w:val="00034DDE"/>
    <w:rsid w:val="00035DE3"/>
    <w:rsid w:val="000519BE"/>
    <w:rsid w:val="00051A75"/>
    <w:rsid w:val="00065E3F"/>
    <w:rsid w:val="00071BD6"/>
    <w:rsid w:val="00073979"/>
    <w:rsid w:val="0008300F"/>
    <w:rsid w:val="00085016"/>
    <w:rsid w:val="00090E2A"/>
    <w:rsid w:val="00094B1F"/>
    <w:rsid w:val="00096F28"/>
    <w:rsid w:val="000A19D0"/>
    <w:rsid w:val="000A62B2"/>
    <w:rsid w:val="000B188C"/>
    <w:rsid w:val="000B2B4B"/>
    <w:rsid w:val="000C4C30"/>
    <w:rsid w:val="000C71AC"/>
    <w:rsid w:val="000D2E28"/>
    <w:rsid w:val="000D5E72"/>
    <w:rsid w:val="000E0FD8"/>
    <w:rsid w:val="000E23DF"/>
    <w:rsid w:val="000E65F4"/>
    <w:rsid w:val="000F2408"/>
    <w:rsid w:val="000F4860"/>
    <w:rsid w:val="00114260"/>
    <w:rsid w:val="00121BD4"/>
    <w:rsid w:val="001329EB"/>
    <w:rsid w:val="00134C2C"/>
    <w:rsid w:val="001413C6"/>
    <w:rsid w:val="00143DE2"/>
    <w:rsid w:val="00145E01"/>
    <w:rsid w:val="001523CB"/>
    <w:rsid w:val="001561F3"/>
    <w:rsid w:val="00157218"/>
    <w:rsid w:val="00161424"/>
    <w:rsid w:val="00162FAD"/>
    <w:rsid w:val="001649C1"/>
    <w:rsid w:val="00174F77"/>
    <w:rsid w:val="00180811"/>
    <w:rsid w:val="00181E5C"/>
    <w:rsid w:val="00191EA0"/>
    <w:rsid w:val="00192F40"/>
    <w:rsid w:val="001979D1"/>
    <w:rsid w:val="00197ABE"/>
    <w:rsid w:val="001B53CE"/>
    <w:rsid w:val="001D6C71"/>
    <w:rsid w:val="001E43A9"/>
    <w:rsid w:val="001E7E89"/>
    <w:rsid w:val="001F0D12"/>
    <w:rsid w:val="002020DD"/>
    <w:rsid w:val="002026B6"/>
    <w:rsid w:val="00205F48"/>
    <w:rsid w:val="00210ABF"/>
    <w:rsid w:val="002143CD"/>
    <w:rsid w:val="002154A0"/>
    <w:rsid w:val="00225C68"/>
    <w:rsid w:val="002311C7"/>
    <w:rsid w:val="00236CF6"/>
    <w:rsid w:val="00241DB6"/>
    <w:rsid w:val="0024574E"/>
    <w:rsid w:val="00245C54"/>
    <w:rsid w:val="00257763"/>
    <w:rsid w:val="00263F12"/>
    <w:rsid w:val="00271142"/>
    <w:rsid w:val="00277FC6"/>
    <w:rsid w:val="002915F1"/>
    <w:rsid w:val="00291B6E"/>
    <w:rsid w:val="00292748"/>
    <w:rsid w:val="00294522"/>
    <w:rsid w:val="002B2426"/>
    <w:rsid w:val="002C4518"/>
    <w:rsid w:val="002C517E"/>
    <w:rsid w:val="002D18F1"/>
    <w:rsid w:val="002D2B85"/>
    <w:rsid w:val="002D3AD5"/>
    <w:rsid w:val="002E05D2"/>
    <w:rsid w:val="002E164C"/>
    <w:rsid w:val="002E1F91"/>
    <w:rsid w:val="002E2A6A"/>
    <w:rsid w:val="002E52FA"/>
    <w:rsid w:val="002E78D1"/>
    <w:rsid w:val="002F0876"/>
    <w:rsid w:val="002F0FBC"/>
    <w:rsid w:val="0030377F"/>
    <w:rsid w:val="00307F23"/>
    <w:rsid w:val="0031221B"/>
    <w:rsid w:val="00313214"/>
    <w:rsid w:val="0032225E"/>
    <w:rsid w:val="003270A0"/>
    <w:rsid w:val="00350367"/>
    <w:rsid w:val="003567AF"/>
    <w:rsid w:val="0036694C"/>
    <w:rsid w:val="00375BEF"/>
    <w:rsid w:val="00384E64"/>
    <w:rsid w:val="003954DF"/>
    <w:rsid w:val="00395B10"/>
    <w:rsid w:val="00396E69"/>
    <w:rsid w:val="003A3AE7"/>
    <w:rsid w:val="003A511E"/>
    <w:rsid w:val="003A63B5"/>
    <w:rsid w:val="003B1A6D"/>
    <w:rsid w:val="003B23B6"/>
    <w:rsid w:val="003C0BF8"/>
    <w:rsid w:val="003C1E0E"/>
    <w:rsid w:val="003C2D0D"/>
    <w:rsid w:val="003E138A"/>
    <w:rsid w:val="003E3A70"/>
    <w:rsid w:val="003F1C1D"/>
    <w:rsid w:val="00402765"/>
    <w:rsid w:val="004059B2"/>
    <w:rsid w:val="0041403D"/>
    <w:rsid w:val="004168E8"/>
    <w:rsid w:val="00417195"/>
    <w:rsid w:val="00426B85"/>
    <w:rsid w:val="00430581"/>
    <w:rsid w:val="0043129A"/>
    <w:rsid w:val="004332B9"/>
    <w:rsid w:val="00442344"/>
    <w:rsid w:val="00446E06"/>
    <w:rsid w:val="00447698"/>
    <w:rsid w:val="0045168F"/>
    <w:rsid w:val="00451A1F"/>
    <w:rsid w:val="004566D6"/>
    <w:rsid w:val="0046452D"/>
    <w:rsid w:val="00465B66"/>
    <w:rsid w:val="00467435"/>
    <w:rsid w:val="00471C4F"/>
    <w:rsid w:val="00474FDC"/>
    <w:rsid w:val="004752BA"/>
    <w:rsid w:val="004845AE"/>
    <w:rsid w:val="004B0C81"/>
    <w:rsid w:val="004C0F75"/>
    <w:rsid w:val="004D0ABC"/>
    <w:rsid w:val="004D2FCD"/>
    <w:rsid w:val="004E1742"/>
    <w:rsid w:val="004F4858"/>
    <w:rsid w:val="00504D70"/>
    <w:rsid w:val="00520CE6"/>
    <w:rsid w:val="00520DCA"/>
    <w:rsid w:val="005304F9"/>
    <w:rsid w:val="0053433E"/>
    <w:rsid w:val="00534EAB"/>
    <w:rsid w:val="00540352"/>
    <w:rsid w:val="00541138"/>
    <w:rsid w:val="0055018C"/>
    <w:rsid w:val="005618A0"/>
    <w:rsid w:val="00561953"/>
    <w:rsid w:val="00571C6A"/>
    <w:rsid w:val="00575D77"/>
    <w:rsid w:val="00581F2E"/>
    <w:rsid w:val="0058286F"/>
    <w:rsid w:val="00591698"/>
    <w:rsid w:val="005A5A71"/>
    <w:rsid w:val="005B5147"/>
    <w:rsid w:val="005C650E"/>
    <w:rsid w:val="005D4EA4"/>
    <w:rsid w:val="005E4013"/>
    <w:rsid w:val="005F3BC7"/>
    <w:rsid w:val="005F4A94"/>
    <w:rsid w:val="0060189A"/>
    <w:rsid w:val="0060674C"/>
    <w:rsid w:val="0061662E"/>
    <w:rsid w:val="006317D1"/>
    <w:rsid w:val="006369DE"/>
    <w:rsid w:val="006433F4"/>
    <w:rsid w:val="0064628D"/>
    <w:rsid w:val="0065561B"/>
    <w:rsid w:val="006606CF"/>
    <w:rsid w:val="0066261A"/>
    <w:rsid w:val="006735E2"/>
    <w:rsid w:val="00677226"/>
    <w:rsid w:val="00695A05"/>
    <w:rsid w:val="006B13BF"/>
    <w:rsid w:val="006B2E2C"/>
    <w:rsid w:val="006B358E"/>
    <w:rsid w:val="006C4CF9"/>
    <w:rsid w:val="006D00B0"/>
    <w:rsid w:val="006E0159"/>
    <w:rsid w:val="006E34F9"/>
    <w:rsid w:val="006E641B"/>
    <w:rsid w:val="006F6BCD"/>
    <w:rsid w:val="00711662"/>
    <w:rsid w:val="007254C3"/>
    <w:rsid w:val="00731E05"/>
    <w:rsid w:val="0074285F"/>
    <w:rsid w:val="007551DF"/>
    <w:rsid w:val="007600BF"/>
    <w:rsid w:val="00764457"/>
    <w:rsid w:val="00771402"/>
    <w:rsid w:val="007757DD"/>
    <w:rsid w:val="00775B59"/>
    <w:rsid w:val="00786473"/>
    <w:rsid w:val="00794C4A"/>
    <w:rsid w:val="007A5148"/>
    <w:rsid w:val="007A7A0B"/>
    <w:rsid w:val="007D176B"/>
    <w:rsid w:val="007E4C01"/>
    <w:rsid w:val="007F5439"/>
    <w:rsid w:val="00802519"/>
    <w:rsid w:val="00803660"/>
    <w:rsid w:val="00806A18"/>
    <w:rsid w:val="00807D89"/>
    <w:rsid w:val="00810063"/>
    <w:rsid w:val="0081350C"/>
    <w:rsid w:val="00817805"/>
    <w:rsid w:val="00825979"/>
    <w:rsid w:val="00827B3A"/>
    <w:rsid w:val="00833A46"/>
    <w:rsid w:val="00835722"/>
    <w:rsid w:val="008435D8"/>
    <w:rsid w:val="00853B24"/>
    <w:rsid w:val="00864341"/>
    <w:rsid w:val="008647C0"/>
    <w:rsid w:val="008932F0"/>
    <w:rsid w:val="00894798"/>
    <w:rsid w:val="008A1B76"/>
    <w:rsid w:val="008D1E38"/>
    <w:rsid w:val="008D1ED7"/>
    <w:rsid w:val="008D254E"/>
    <w:rsid w:val="008D2766"/>
    <w:rsid w:val="008D5B1F"/>
    <w:rsid w:val="008E04C2"/>
    <w:rsid w:val="008E39FF"/>
    <w:rsid w:val="008E4EC5"/>
    <w:rsid w:val="008F0403"/>
    <w:rsid w:val="008F12CC"/>
    <w:rsid w:val="00900233"/>
    <w:rsid w:val="00910144"/>
    <w:rsid w:val="009122E2"/>
    <w:rsid w:val="00926DAA"/>
    <w:rsid w:val="00932A15"/>
    <w:rsid w:val="009451BB"/>
    <w:rsid w:val="00956658"/>
    <w:rsid w:val="009749F4"/>
    <w:rsid w:val="009804FD"/>
    <w:rsid w:val="009A3EC8"/>
    <w:rsid w:val="009A41FB"/>
    <w:rsid w:val="009A7ECD"/>
    <w:rsid w:val="009B1501"/>
    <w:rsid w:val="009B200C"/>
    <w:rsid w:val="009C7984"/>
    <w:rsid w:val="009D0830"/>
    <w:rsid w:val="009D3A75"/>
    <w:rsid w:val="009E5625"/>
    <w:rsid w:val="009F0B1F"/>
    <w:rsid w:val="009F0FAE"/>
    <w:rsid w:val="009F15BF"/>
    <w:rsid w:val="009F3D2B"/>
    <w:rsid w:val="009F5A62"/>
    <w:rsid w:val="009F5C2D"/>
    <w:rsid w:val="009F61A1"/>
    <w:rsid w:val="00A074C8"/>
    <w:rsid w:val="00A13896"/>
    <w:rsid w:val="00A17E13"/>
    <w:rsid w:val="00A2235A"/>
    <w:rsid w:val="00A2635D"/>
    <w:rsid w:val="00A27DBD"/>
    <w:rsid w:val="00A30AE7"/>
    <w:rsid w:val="00A332A9"/>
    <w:rsid w:val="00A370A2"/>
    <w:rsid w:val="00A5010F"/>
    <w:rsid w:val="00A527C3"/>
    <w:rsid w:val="00A55035"/>
    <w:rsid w:val="00A666B6"/>
    <w:rsid w:val="00A73B45"/>
    <w:rsid w:val="00A81DB5"/>
    <w:rsid w:val="00A95A0E"/>
    <w:rsid w:val="00AA16AE"/>
    <w:rsid w:val="00AA3505"/>
    <w:rsid w:val="00AA3FFE"/>
    <w:rsid w:val="00AA41DE"/>
    <w:rsid w:val="00AA6027"/>
    <w:rsid w:val="00AB40CE"/>
    <w:rsid w:val="00AD073F"/>
    <w:rsid w:val="00AD56DE"/>
    <w:rsid w:val="00AE11C2"/>
    <w:rsid w:val="00AF05AD"/>
    <w:rsid w:val="00AF2D6B"/>
    <w:rsid w:val="00B11520"/>
    <w:rsid w:val="00B15A09"/>
    <w:rsid w:val="00B15C8E"/>
    <w:rsid w:val="00B27B28"/>
    <w:rsid w:val="00B307DE"/>
    <w:rsid w:val="00B322F5"/>
    <w:rsid w:val="00B367F2"/>
    <w:rsid w:val="00B37016"/>
    <w:rsid w:val="00B41D4E"/>
    <w:rsid w:val="00B46DA2"/>
    <w:rsid w:val="00B52135"/>
    <w:rsid w:val="00B556A4"/>
    <w:rsid w:val="00B57E8F"/>
    <w:rsid w:val="00B6338F"/>
    <w:rsid w:val="00B708DA"/>
    <w:rsid w:val="00B84FAC"/>
    <w:rsid w:val="00B92B0B"/>
    <w:rsid w:val="00BA038B"/>
    <w:rsid w:val="00BA2978"/>
    <w:rsid w:val="00BB36F3"/>
    <w:rsid w:val="00BC1B5D"/>
    <w:rsid w:val="00BC1B7F"/>
    <w:rsid w:val="00BC2B22"/>
    <w:rsid w:val="00BD0A97"/>
    <w:rsid w:val="00BE1C87"/>
    <w:rsid w:val="00BE29EE"/>
    <w:rsid w:val="00BE785E"/>
    <w:rsid w:val="00BE787D"/>
    <w:rsid w:val="00C07ED8"/>
    <w:rsid w:val="00C133F8"/>
    <w:rsid w:val="00C13B17"/>
    <w:rsid w:val="00C14C96"/>
    <w:rsid w:val="00C35308"/>
    <w:rsid w:val="00C45376"/>
    <w:rsid w:val="00C50579"/>
    <w:rsid w:val="00C544E7"/>
    <w:rsid w:val="00C7010D"/>
    <w:rsid w:val="00C72581"/>
    <w:rsid w:val="00C7358B"/>
    <w:rsid w:val="00C74574"/>
    <w:rsid w:val="00C81916"/>
    <w:rsid w:val="00C831A3"/>
    <w:rsid w:val="00C859B1"/>
    <w:rsid w:val="00C87A94"/>
    <w:rsid w:val="00C90741"/>
    <w:rsid w:val="00C95A60"/>
    <w:rsid w:val="00CA3692"/>
    <w:rsid w:val="00CA5880"/>
    <w:rsid w:val="00CB5950"/>
    <w:rsid w:val="00CB7E44"/>
    <w:rsid w:val="00CD5861"/>
    <w:rsid w:val="00CE3C5A"/>
    <w:rsid w:val="00CE4CB1"/>
    <w:rsid w:val="00CE65BB"/>
    <w:rsid w:val="00CF358D"/>
    <w:rsid w:val="00D12E12"/>
    <w:rsid w:val="00D17240"/>
    <w:rsid w:val="00D223DA"/>
    <w:rsid w:val="00D52645"/>
    <w:rsid w:val="00D53FF4"/>
    <w:rsid w:val="00D54B0C"/>
    <w:rsid w:val="00D6079E"/>
    <w:rsid w:val="00D60C16"/>
    <w:rsid w:val="00D6222F"/>
    <w:rsid w:val="00D66E5F"/>
    <w:rsid w:val="00D706DD"/>
    <w:rsid w:val="00D8750A"/>
    <w:rsid w:val="00D87D30"/>
    <w:rsid w:val="00D924A7"/>
    <w:rsid w:val="00D94C6B"/>
    <w:rsid w:val="00DA45D1"/>
    <w:rsid w:val="00DB2507"/>
    <w:rsid w:val="00DC0CE7"/>
    <w:rsid w:val="00DC259F"/>
    <w:rsid w:val="00DC4403"/>
    <w:rsid w:val="00DC4AA2"/>
    <w:rsid w:val="00DD3A6A"/>
    <w:rsid w:val="00DD5AA3"/>
    <w:rsid w:val="00DE0A09"/>
    <w:rsid w:val="00DF66FA"/>
    <w:rsid w:val="00E0792C"/>
    <w:rsid w:val="00E14025"/>
    <w:rsid w:val="00E15398"/>
    <w:rsid w:val="00E20B7A"/>
    <w:rsid w:val="00E214F5"/>
    <w:rsid w:val="00E378E3"/>
    <w:rsid w:val="00E4384F"/>
    <w:rsid w:val="00E46500"/>
    <w:rsid w:val="00E51E36"/>
    <w:rsid w:val="00E568AA"/>
    <w:rsid w:val="00E647C2"/>
    <w:rsid w:val="00E757E9"/>
    <w:rsid w:val="00E956B9"/>
    <w:rsid w:val="00E95FD7"/>
    <w:rsid w:val="00EA02CF"/>
    <w:rsid w:val="00EA2522"/>
    <w:rsid w:val="00EA7400"/>
    <w:rsid w:val="00EB0B44"/>
    <w:rsid w:val="00EB18E0"/>
    <w:rsid w:val="00EB2609"/>
    <w:rsid w:val="00EB2663"/>
    <w:rsid w:val="00EB2B81"/>
    <w:rsid w:val="00EC537F"/>
    <w:rsid w:val="00EC7C1D"/>
    <w:rsid w:val="00ED1BD1"/>
    <w:rsid w:val="00ED2F63"/>
    <w:rsid w:val="00EE5022"/>
    <w:rsid w:val="00EE736B"/>
    <w:rsid w:val="00F00C22"/>
    <w:rsid w:val="00F02853"/>
    <w:rsid w:val="00F035CD"/>
    <w:rsid w:val="00F122AC"/>
    <w:rsid w:val="00F132EB"/>
    <w:rsid w:val="00F17F09"/>
    <w:rsid w:val="00F215D7"/>
    <w:rsid w:val="00F257A5"/>
    <w:rsid w:val="00F314A1"/>
    <w:rsid w:val="00F336D5"/>
    <w:rsid w:val="00F434DE"/>
    <w:rsid w:val="00F45CA6"/>
    <w:rsid w:val="00F50CAD"/>
    <w:rsid w:val="00F727BE"/>
    <w:rsid w:val="00F7380D"/>
    <w:rsid w:val="00F83C9D"/>
    <w:rsid w:val="00F8478C"/>
    <w:rsid w:val="00F975FA"/>
    <w:rsid w:val="00F97B12"/>
    <w:rsid w:val="00FA2BAD"/>
    <w:rsid w:val="00FA55D3"/>
    <w:rsid w:val="00FA5D28"/>
    <w:rsid w:val="00FA63E4"/>
    <w:rsid w:val="00FB15BF"/>
    <w:rsid w:val="00FC3ACC"/>
    <w:rsid w:val="00FC73ED"/>
    <w:rsid w:val="00FD26B4"/>
    <w:rsid w:val="00FE0191"/>
    <w:rsid w:val="00FE4E87"/>
    <w:rsid w:val="00FF1E0E"/>
    <w:rsid w:val="0C4F23BD"/>
    <w:rsid w:val="0F840C90"/>
    <w:rsid w:val="11C38231"/>
    <w:rsid w:val="1FAEE5F3"/>
    <w:rsid w:val="20036DF7"/>
    <w:rsid w:val="23EE06F4"/>
    <w:rsid w:val="31FD2630"/>
    <w:rsid w:val="369DCCC2"/>
    <w:rsid w:val="37B6F33C"/>
    <w:rsid w:val="3B529175"/>
    <w:rsid w:val="4791B0FC"/>
    <w:rsid w:val="49A0EF0E"/>
    <w:rsid w:val="4CBEECA1"/>
    <w:rsid w:val="4E368F67"/>
    <w:rsid w:val="511DFDF6"/>
    <w:rsid w:val="55CDE38B"/>
    <w:rsid w:val="59FA1C21"/>
    <w:rsid w:val="5C9935F2"/>
    <w:rsid w:val="5EA72531"/>
    <w:rsid w:val="6774F6A6"/>
    <w:rsid w:val="68C21693"/>
    <w:rsid w:val="7861864E"/>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F7DB7"/>
  <w15:chartTrackingRefBased/>
  <w15:docId w15:val="{86745FF0-0E80-43DB-BE3E-F2B90B9A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435"/>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87A94"/>
    <w:pPr>
      <w:spacing w:before="100" w:beforeAutospacing="1" w:after="100" w:afterAutospacing="1" w:line="240" w:lineRule="auto"/>
    </w:pPr>
    <w:rPr>
      <w:rFonts w:ascii="Times New Roman" w:hAnsi="Times New Roman"/>
      <w:sz w:val="24"/>
      <w:szCs w:val="24"/>
      <w:lang w:eastAsia="es-CO"/>
    </w:rPr>
  </w:style>
  <w:style w:type="character" w:customStyle="1" w:styleId="baj">
    <w:name w:val="b_aj"/>
    <w:basedOn w:val="Fuentedeprrafopredeter"/>
    <w:rsid w:val="00C87A94"/>
  </w:style>
  <w:style w:type="character" w:styleId="Hipervnculo">
    <w:name w:val="Hyperlink"/>
    <w:basedOn w:val="Fuentedeprrafopredeter"/>
    <w:uiPriority w:val="99"/>
    <w:unhideWhenUsed/>
    <w:rsid w:val="00C87A94"/>
    <w:rPr>
      <w:color w:val="0000FF"/>
      <w:u w:val="single"/>
    </w:rPr>
  </w:style>
  <w:style w:type="paragraph" w:styleId="Prrafodelista">
    <w:name w:val="List Paragraph"/>
    <w:aliases w:val="List,titulo 3,Bullet,Numbered Paragraph,Bolita,Numerado informes,Bullet List,FooterText,numbered,Paragraphe de liste1,lp1,Use Case List Paragraph,Bullets,Fluvial1,Ha,Cuadrícula clara - Énfasis 31,Normal. Viñetas,HOJA,Párrafo de lista4"/>
    <w:basedOn w:val="Normal"/>
    <w:link w:val="PrrafodelistaCar"/>
    <w:uiPriority w:val="34"/>
    <w:qFormat/>
    <w:rsid w:val="00C87A94"/>
    <w:pPr>
      <w:ind w:left="720"/>
      <w:contextualSpacing/>
    </w:pPr>
  </w:style>
  <w:style w:type="paragraph" w:styleId="Encabezado">
    <w:name w:val="header"/>
    <w:basedOn w:val="Normal"/>
    <w:link w:val="EncabezadoCar"/>
    <w:uiPriority w:val="99"/>
    <w:unhideWhenUsed/>
    <w:rsid w:val="009B1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501"/>
  </w:style>
  <w:style w:type="paragraph" w:styleId="Piedepgina">
    <w:name w:val="footer"/>
    <w:basedOn w:val="Normal"/>
    <w:link w:val="PiedepginaCar"/>
    <w:uiPriority w:val="99"/>
    <w:unhideWhenUsed/>
    <w:rsid w:val="009B1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501"/>
  </w:style>
  <w:style w:type="paragraph" w:styleId="Textodeglobo">
    <w:name w:val="Balloon Text"/>
    <w:basedOn w:val="Normal"/>
    <w:link w:val="TextodegloboCar"/>
    <w:uiPriority w:val="99"/>
    <w:semiHidden/>
    <w:unhideWhenUsed/>
    <w:rsid w:val="004752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52BA"/>
    <w:rPr>
      <w:rFonts w:ascii="Segoe UI" w:hAnsi="Segoe UI" w:cs="Segoe UI"/>
      <w:sz w:val="18"/>
      <w:szCs w:val="18"/>
    </w:rPr>
  </w:style>
  <w:style w:type="table" w:styleId="Tablaconcuadrcula">
    <w:name w:val="Table Grid"/>
    <w:basedOn w:val="Tablanormal"/>
    <w:uiPriority w:val="59"/>
    <w:rsid w:val="00467435"/>
    <w:pPr>
      <w:spacing w:after="0" w:line="240" w:lineRule="auto"/>
    </w:pPr>
    <w:rPr>
      <w:rFonts w:ascii="Calibri" w:eastAsia="Times New Roman"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Ref1"/>
    <w:basedOn w:val="Fuentedeprrafopredeter"/>
    <w:uiPriority w:val="99"/>
    <w:unhideWhenUsed/>
    <w:qFormat/>
    <w:rsid w:val="00EA2522"/>
    <w:rPr>
      <w:vertAlign w:val="superscript"/>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s,Footnote ak,FA Fu,ft1"/>
    <w:basedOn w:val="Normal"/>
    <w:link w:val="TextonotapieCar"/>
    <w:uiPriority w:val="99"/>
    <w:unhideWhenUsed/>
    <w:qFormat/>
    <w:rsid w:val="00EA2522"/>
    <w:pPr>
      <w:spacing w:after="0" w:line="240" w:lineRule="auto"/>
    </w:pPr>
    <w:rPr>
      <w:rFonts w:ascii="Times New Roman" w:hAnsi="Times New Roman"/>
      <w:sz w:val="20"/>
      <w:szCs w:val="20"/>
      <w:lang w:eastAsia="es-ES"/>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Footnotes Car"/>
    <w:basedOn w:val="Fuentedeprrafopredeter"/>
    <w:link w:val="Textonotapie"/>
    <w:uiPriority w:val="99"/>
    <w:rsid w:val="00EA2522"/>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semiHidden/>
    <w:unhideWhenUsed/>
    <w:rsid w:val="00EA2522"/>
    <w:rPr>
      <w:color w:val="954F72" w:themeColor="followedHyperlink"/>
      <w:u w:val="single"/>
    </w:rPr>
  </w:style>
  <w:style w:type="character" w:customStyle="1" w:styleId="PrrafodelistaCar">
    <w:name w:val="Párrafo de lista Car"/>
    <w:aliases w:val="List Car,titulo 3 Car,Bullet Car,Numbered Paragraph Car,Bolita Car,Numerado informes Car,Bullet List Car,FooterText Car,numbered Car,Paragraphe de liste1 Car,lp1 Car,Use Case List Paragraph Car,Bullets Car,Fluvial1 Car,Ha Car"/>
    <w:link w:val="Prrafodelista"/>
    <w:uiPriority w:val="34"/>
    <w:qFormat/>
    <w:locked/>
    <w:rsid w:val="005F3BC7"/>
    <w:rPr>
      <w:rFonts w:ascii="Calibri" w:eastAsia="Times New Roman" w:hAnsi="Calibri" w:cs="Times New Roman"/>
      <w:lang w:val="en-US"/>
    </w:rPr>
  </w:style>
  <w:style w:type="character" w:styleId="Textoennegrita">
    <w:name w:val="Strong"/>
    <w:basedOn w:val="Fuentedeprrafopredeter"/>
    <w:uiPriority w:val="22"/>
    <w:qFormat/>
    <w:rsid w:val="009D3A75"/>
    <w:rPr>
      <w:b/>
      <w:bCs/>
    </w:rPr>
  </w:style>
  <w:style w:type="character" w:styleId="Mencinsinresolver">
    <w:name w:val="Unresolved Mention"/>
    <w:basedOn w:val="Fuentedeprrafopredeter"/>
    <w:uiPriority w:val="99"/>
    <w:semiHidden/>
    <w:unhideWhenUsed/>
    <w:rsid w:val="006B2E2C"/>
    <w:rPr>
      <w:color w:val="605E5C"/>
      <w:shd w:val="clear" w:color="auto" w:fill="E1DFDD"/>
    </w:rPr>
  </w:style>
  <w:style w:type="paragraph" w:customStyle="1" w:styleId="EstiloEstiloTtulo1LatinaArial11pt11pt">
    <w:name w:val="Estilo Estilo Título 1 + (Latina) Arial 11 pt + 11 pt"/>
    <w:basedOn w:val="Normal"/>
    <w:uiPriority w:val="99"/>
    <w:rsid w:val="002E05D2"/>
    <w:pPr>
      <w:keepNext/>
      <w:spacing w:after="0" w:line="240" w:lineRule="auto"/>
      <w:jc w:val="center"/>
      <w:outlineLvl w:val="0"/>
    </w:pPr>
    <w:rPr>
      <w:rFonts w:ascii="Arial" w:eastAsia="Arial Unicode MS" w:hAnsi="Arial"/>
      <w:b/>
      <w:bCs/>
      <w:szCs w:val="24"/>
      <w:lang w:val="es-ES" w:eastAsia="es-ES"/>
    </w:rPr>
  </w:style>
  <w:style w:type="character" w:styleId="Refdecomentario">
    <w:name w:val="annotation reference"/>
    <w:basedOn w:val="Fuentedeprrafopredeter"/>
    <w:uiPriority w:val="99"/>
    <w:semiHidden/>
    <w:unhideWhenUsed/>
    <w:rsid w:val="00C859B1"/>
    <w:rPr>
      <w:sz w:val="16"/>
      <w:szCs w:val="16"/>
    </w:rPr>
  </w:style>
  <w:style w:type="paragraph" w:styleId="Textocomentario">
    <w:name w:val="annotation text"/>
    <w:basedOn w:val="Normal"/>
    <w:link w:val="TextocomentarioCar"/>
    <w:uiPriority w:val="99"/>
    <w:semiHidden/>
    <w:unhideWhenUsed/>
    <w:rsid w:val="00C85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59B1"/>
    <w:rPr>
      <w:rFonts w:ascii="Calibri" w:eastAsia="Times New Roman"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C859B1"/>
    <w:rPr>
      <w:b/>
      <w:bCs/>
    </w:rPr>
  </w:style>
  <w:style w:type="character" w:customStyle="1" w:styleId="AsuntodelcomentarioCar">
    <w:name w:val="Asunto del comentario Car"/>
    <w:basedOn w:val="TextocomentarioCar"/>
    <w:link w:val="Asuntodelcomentario"/>
    <w:uiPriority w:val="99"/>
    <w:semiHidden/>
    <w:rsid w:val="00C859B1"/>
    <w:rPr>
      <w:rFonts w:ascii="Calibri" w:eastAsia="Times New Roman" w:hAnsi="Calibri" w:cs="Times New Roman"/>
      <w:b/>
      <w:bCs/>
      <w:sz w:val="20"/>
      <w:szCs w:val="20"/>
      <w:lang w:val="en-US"/>
    </w:rPr>
  </w:style>
  <w:style w:type="paragraph" w:styleId="Revisin">
    <w:name w:val="Revision"/>
    <w:hidden/>
    <w:uiPriority w:val="99"/>
    <w:semiHidden/>
    <w:rsid w:val="00AA350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15569">
      <w:bodyDiv w:val="1"/>
      <w:marLeft w:val="0"/>
      <w:marRight w:val="0"/>
      <w:marTop w:val="0"/>
      <w:marBottom w:val="0"/>
      <w:divBdr>
        <w:top w:val="none" w:sz="0" w:space="0" w:color="auto"/>
        <w:left w:val="none" w:sz="0" w:space="0" w:color="auto"/>
        <w:bottom w:val="none" w:sz="0" w:space="0" w:color="auto"/>
        <w:right w:val="none" w:sz="0" w:space="0" w:color="auto"/>
      </w:divBdr>
    </w:div>
    <w:div w:id="622005393">
      <w:bodyDiv w:val="1"/>
      <w:marLeft w:val="0"/>
      <w:marRight w:val="0"/>
      <w:marTop w:val="0"/>
      <w:marBottom w:val="0"/>
      <w:divBdr>
        <w:top w:val="none" w:sz="0" w:space="0" w:color="auto"/>
        <w:left w:val="none" w:sz="0" w:space="0" w:color="auto"/>
        <w:bottom w:val="none" w:sz="0" w:space="0" w:color="auto"/>
        <w:right w:val="none" w:sz="0" w:space="0" w:color="auto"/>
      </w:divBdr>
      <w:divsChild>
        <w:div w:id="422840528">
          <w:marLeft w:val="0"/>
          <w:marRight w:val="0"/>
          <w:marTop w:val="0"/>
          <w:marBottom w:val="0"/>
          <w:divBdr>
            <w:top w:val="none" w:sz="0" w:space="0" w:color="auto"/>
            <w:left w:val="none" w:sz="0" w:space="0" w:color="auto"/>
            <w:bottom w:val="none" w:sz="0" w:space="0" w:color="auto"/>
            <w:right w:val="none" w:sz="0" w:space="0" w:color="auto"/>
          </w:divBdr>
        </w:div>
      </w:divsChild>
    </w:div>
    <w:div w:id="913319551">
      <w:bodyDiv w:val="1"/>
      <w:marLeft w:val="0"/>
      <w:marRight w:val="0"/>
      <w:marTop w:val="0"/>
      <w:marBottom w:val="0"/>
      <w:divBdr>
        <w:top w:val="none" w:sz="0" w:space="0" w:color="auto"/>
        <w:left w:val="none" w:sz="0" w:space="0" w:color="auto"/>
        <w:bottom w:val="none" w:sz="0" w:space="0" w:color="auto"/>
        <w:right w:val="none" w:sz="0" w:space="0" w:color="auto"/>
      </w:divBdr>
    </w:div>
    <w:div w:id="1848786817">
      <w:bodyDiv w:val="1"/>
      <w:marLeft w:val="0"/>
      <w:marRight w:val="0"/>
      <w:marTop w:val="0"/>
      <w:marBottom w:val="0"/>
      <w:divBdr>
        <w:top w:val="none" w:sz="0" w:space="0" w:color="auto"/>
        <w:left w:val="none" w:sz="0" w:space="0" w:color="auto"/>
        <w:bottom w:val="none" w:sz="0" w:space="0" w:color="auto"/>
        <w:right w:val="none" w:sz="0" w:space="0" w:color="auto"/>
      </w:divBdr>
    </w:div>
    <w:div w:id="20651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b.org.co/Clusters/Cluster-de-Software-y-TI/Noticias/2019/Agosto-2019/Asi-va-el-negocio-de-blockchain-en-Colombi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rden xmlns="760123c7-1f97-4c2e-9f92-42da4ffeb453">11</orden>
    <categoria_term xmlns="760123c7-1f97-4c2e-9f92-42da4ffeb453">colombia-productiva</categoria_te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38901DE6CBC91449D272A548CE1AC10" ma:contentTypeVersion="2" ma:contentTypeDescription="Crear nuevo documento." ma:contentTypeScope="" ma:versionID="47df7a7c7cdfc82611c741aba5177375">
  <xsd:schema xmlns:xsd="http://www.w3.org/2001/XMLSchema" xmlns:xs="http://www.w3.org/2001/XMLSchema" xmlns:p="http://schemas.microsoft.com/office/2006/metadata/properties" xmlns:ns2="760123c7-1f97-4c2e-9f92-42da4ffeb453" targetNamespace="http://schemas.microsoft.com/office/2006/metadata/properties" ma:root="true" ma:fieldsID="515ca32fd2b99dfed122e6ebe1abd62f" ns2:_="">
    <xsd:import namespace="760123c7-1f97-4c2e-9f92-42da4ffeb453"/>
    <xsd:element name="properties">
      <xsd:complexType>
        <xsd:sequence>
          <xsd:element name="documentManagement">
            <xsd:complexType>
              <xsd:all>
                <xsd:element ref="ns2:orden" minOccurs="0"/>
                <xsd:element ref="ns2:categoria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123c7-1f97-4c2e-9f92-42da4ffeb453" elementFormDefault="qualified">
    <xsd:import namespace="http://schemas.microsoft.com/office/2006/documentManagement/types"/>
    <xsd:import namespace="http://schemas.microsoft.com/office/infopath/2007/PartnerControls"/>
    <xsd:element name="orden" ma:index="8" nillable="true" ma:displayName="orden" ma:internalName="orden">
      <xsd:simpleType>
        <xsd:restriction base="dms:Number"/>
      </xsd:simpleType>
    </xsd:element>
    <xsd:element name="categoria_term" ma:index="9" nillable="true" ma:displayName="categoria_term" ma:default="ninguna" ma:format="Dropdown" ma:internalName="categoria_term">
      <xsd:simpleType>
        <xsd:restriction base="dms:Choice">
          <xsd:enumeration value="jovenes-innova"/>
          <xsd:enumeration value="minciencia"/>
          <xsd:enumeration value="colombia-productiva"/>
          <xsd:enumeration value="ninguna"/>
          <xsd:enumeration value="adenda-colombia"/>
          <xsd:enumeration value="Banco-preliminar"/>
          <xsd:enumeration value="Banco-preliminar-Productividad-empresas"/>
          <xsd:enumeration value="colom_produ_Resultados-definitivos"/>
          <xsd:enumeration value="sennainnova-Definitivos"/>
          <xsd:enumeration value="MINCIENCIAS-definitiv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8454C-B2DE-492A-9BC5-B121DC1FB0D1}">
  <ds:schemaRefs>
    <ds:schemaRef ds:uri="http://schemas.openxmlformats.org/officeDocument/2006/bibliography"/>
  </ds:schemaRefs>
</ds:datastoreItem>
</file>

<file path=customXml/itemProps2.xml><?xml version="1.0" encoding="utf-8"?>
<ds:datastoreItem xmlns:ds="http://schemas.openxmlformats.org/officeDocument/2006/customXml" ds:itemID="{1657886D-AF4E-4A97-A790-A69B627F00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E7EFFF-94E9-44BD-B367-4E8DB40131E6}">
  <ds:schemaRefs>
    <ds:schemaRef ds:uri="http://schemas.microsoft.com/sharepoint/v3/contenttype/forms"/>
  </ds:schemaRefs>
</ds:datastoreItem>
</file>

<file path=customXml/itemProps4.xml><?xml version="1.0" encoding="utf-8"?>
<ds:datastoreItem xmlns:ds="http://schemas.openxmlformats.org/officeDocument/2006/customXml" ds:itemID="{06E08115-F6E3-4D41-91AB-3662FE85EB6D}"/>
</file>

<file path=docProps/app.xml><?xml version="1.0" encoding="utf-8"?>
<Properties xmlns="http://schemas.openxmlformats.org/officeDocument/2006/extended-properties" xmlns:vt="http://schemas.openxmlformats.org/officeDocument/2006/docPropsVTypes">
  <Template>Normal</Template>
  <TotalTime>2</TotalTime>
  <Pages>5</Pages>
  <Words>1710</Words>
  <Characters>9411</Characters>
  <Application>Microsoft Office Word</Application>
  <DocSecurity>0</DocSecurity>
  <Lines>78</Lines>
  <Paragraphs>22</Paragraphs>
  <ScaleCrop>false</ScaleCrop>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10. Temas priorizados (Informativo)</dc:title>
  <dc:subject/>
  <dc:creator>Jhenifer Téllez Rondón</dc:creator>
  <cp:keywords/>
  <dc:description/>
  <cp:lastModifiedBy>Nelcy Johanna Buitrago Forero</cp:lastModifiedBy>
  <cp:revision>28</cp:revision>
  <dcterms:created xsi:type="dcterms:W3CDTF">2022-01-25T23:17:00Z</dcterms:created>
  <dcterms:modified xsi:type="dcterms:W3CDTF">2022-02-23T03:05:00Z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0x010100738901DE6CBC91449D272A548CE1AC10</vt:lpwstr>
  </property>
</Properties>
</file>